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color w:val="000000" w:themeColor="text1"/>
          <w:highlight w:val="none"/>
          <w14:textFill>
            <w14:solidFill>
              <w14:schemeClr w14:val="tx1"/>
            </w14:solidFill>
          </w14:textFill>
        </w:rPr>
      </w:pPr>
    </w:p>
    <w:p>
      <w:pPr>
        <w:keepNext w:val="0"/>
        <w:keepLines w:val="0"/>
        <w:pageBreakBefore w:val="0"/>
        <w:widowControl w:val="0"/>
        <w:kinsoku/>
        <w:wordWrap/>
        <w:overflowPunct/>
        <w:autoSpaceDE/>
        <w:autoSpaceDN/>
        <w:bidi w:val="0"/>
        <w:spacing w:line="560" w:lineRule="exact"/>
        <w:jc w:val="center"/>
        <w:textAlignment w:val="auto"/>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衡</w:t>
      </w:r>
      <w:r>
        <w:rPr>
          <w:rFonts w:hint="eastAsia" w:ascii="仿宋" w:hAnsi="仿宋" w:eastAsia="仿宋" w:cs="仿宋"/>
          <w:b w:val="0"/>
          <w:bCs/>
          <w:sz w:val="32"/>
          <w:szCs w:val="32"/>
        </w:rPr>
        <w:t>环耒</w:t>
      </w:r>
      <w:r>
        <w:rPr>
          <w:rFonts w:hint="eastAsia" w:ascii="仿宋" w:hAnsi="仿宋" w:eastAsia="仿宋" w:cs="仿宋"/>
          <w:b w:val="0"/>
          <w:bCs/>
          <w:color w:val="auto"/>
          <w:sz w:val="32"/>
          <w:szCs w:val="32"/>
        </w:rPr>
        <w:t>评</w:t>
      </w:r>
      <w:r>
        <w:rPr>
          <w:rFonts w:hint="eastAsia" w:ascii="仿宋" w:hAnsi="仿宋" w:eastAsia="仿宋" w:cs="仿宋"/>
          <w:color w:val="000000" w:themeColor="text1"/>
          <w:sz w:val="32"/>
          <w:szCs w:val="32"/>
          <w:highlight w:val="none"/>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2024</w:t>
      </w:r>
      <w:r>
        <w:rPr>
          <w:rFonts w:hint="eastAsia" w:ascii="仿宋" w:hAnsi="仿宋" w:eastAsia="仿宋" w:cs="仿宋"/>
          <w:color w:val="000000" w:themeColor="text1"/>
          <w:sz w:val="32"/>
          <w:szCs w:val="32"/>
          <w:highlight w:val="none"/>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10</w:t>
      </w:r>
      <w:r>
        <w:rPr>
          <w:rFonts w:hint="eastAsia" w:ascii="仿宋" w:hAnsi="仿宋" w:eastAsia="仿宋" w:cs="仿宋"/>
          <w:color w:val="000000" w:themeColor="text1"/>
          <w:sz w:val="32"/>
          <w:szCs w:val="32"/>
          <w:highlight w:val="none"/>
          <w14:textFill>
            <w14:solidFill>
              <w14:schemeClr w14:val="tx1"/>
            </w14:solidFill>
          </w14:textFill>
        </w:rPr>
        <w:t>号</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themeColor="text1"/>
          <w:sz w:val="32"/>
          <w:szCs w:val="32"/>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公文小标宋" w:hAnsi="方正公文小标宋" w:eastAsia="方正公文小标宋" w:cs="方正公文小标宋"/>
          <w:b w:val="0"/>
          <w:bCs w:val="0"/>
          <w:sz w:val="44"/>
          <w:szCs w:val="44"/>
        </w:rPr>
      </w:pPr>
      <w:r>
        <w:rPr>
          <w:rFonts w:hint="eastAsia" w:ascii="方正公文小标宋" w:hAnsi="方正公文小标宋" w:eastAsia="方正公文小标宋" w:cs="方正公文小标宋"/>
          <w:b w:val="0"/>
          <w:bCs w:val="0"/>
          <w:sz w:val="44"/>
          <w:szCs w:val="44"/>
          <w:lang w:val="en-US" w:eastAsia="zh-CN"/>
        </w:rPr>
        <w:t>关于《耒阳市竹市至大市循环经济产业园公路（耒阳市竹市至哲桥公路二期工程）工程项目环境影响报告书》</w:t>
      </w:r>
      <w:r>
        <w:rPr>
          <w:rFonts w:hint="eastAsia" w:ascii="方正公文小标宋" w:hAnsi="方正公文小标宋" w:eastAsia="方正公文小标宋" w:cs="方正公文小标宋"/>
          <w:b w:val="0"/>
          <w:bCs w:val="0"/>
          <w:sz w:val="44"/>
          <w:szCs w:val="44"/>
        </w:rPr>
        <w:t>的审批意见</w:t>
      </w:r>
    </w:p>
    <w:p>
      <w:pPr>
        <w:pStyle w:val="2"/>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lang w:val="en-US" w:eastAsia="zh-CN"/>
        </w:rPr>
      </w:pPr>
    </w:p>
    <w:p>
      <w:pPr>
        <w:pStyle w:val="11"/>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default" w:ascii="方正楷体_GBK" w:hAnsi="方正楷体_GBK" w:eastAsia="方正楷体_GBK" w:cs="方正楷体_GBK"/>
          <w:b/>
          <w:bCs/>
          <w:color w:val="000000" w:themeColor="text1"/>
          <w:sz w:val="32"/>
          <w:szCs w:val="32"/>
          <w:highlight w:val="none"/>
          <w:lang w:val="en-US" w:eastAsia="zh-CN"/>
          <w14:textFill>
            <w14:solidFill>
              <w14:schemeClr w14:val="tx1"/>
            </w14:solidFill>
          </w14:textFill>
        </w:rPr>
      </w:pPr>
      <w:r>
        <w:rPr>
          <w:rFonts w:hint="eastAsia" w:ascii="方正楷体_GBK" w:hAnsi="方正楷体_GBK" w:eastAsia="方正楷体_GBK" w:cs="方正楷体_GBK"/>
          <w:b/>
          <w:bCs/>
          <w:color w:val="000000" w:themeColor="text1"/>
          <w:sz w:val="32"/>
          <w:szCs w:val="32"/>
          <w:highlight w:val="none"/>
          <w:lang w:val="en-US" w:eastAsia="zh-CN"/>
          <w14:textFill>
            <w14:solidFill>
              <w14:schemeClr w14:val="tx1"/>
            </w14:solidFill>
          </w14:textFill>
        </w:rPr>
        <w:t>耒阳市城农投小城镇开发建设有限公司：</w:t>
      </w:r>
    </w:p>
    <w:p>
      <w:pPr>
        <w:pStyle w:val="11"/>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auto"/>
          <w:sz w:val="32"/>
          <w:szCs w:val="32"/>
          <w:lang w:eastAsia="zh-CN"/>
        </w:rPr>
        <w:t>你公司报送由</w:t>
      </w:r>
      <w:r>
        <w:rPr>
          <w:rFonts w:hint="eastAsia" w:ascii="仿宋" w:hAnsi="仿宋" w:eastAsia="仿宋" w:cs="仿宋"/>
          <w:color w:val="000000" w:themeColor="text1"/>
          <w:sz w:val="32"/>
          <w:szCs w:val="32"/>
          <w:highlight w:val="none"/>
          <w:lang w:val="en-US" w:eastAsia="zh-CN"/>
          <w14:textFill>
            <w14:solidFill>
              <w14:schemeClr w14:val="tx1"/>
            </w14:solidFill>
          </w14:textFill>
        </w:rPr>
        <w:t>湖南振德环保科技有限公司编制的《耒阳市竹市至大市循环经济产业园公路（耒阳市竹市至哲桥公路二期工程）工程项目建设项目环境影响报告书》（以下简称《报告书》）</w:t>
      </w:r>
      <w:r>
        <w:rPr>
          <w:rFonts w:hint="eastAsia" w:ascii="仿宋" w:hAnsi="仿宋" w:eastAsia="仿宋" w:cs="仿宋"/>
          <w:color w:val="auto"/>
          <w:sz w:val="32"/>
          <w:szCs w:val="32"/>
          <w:lang w:eastAsia="zh-CN"/>
        </w:rPr>
        <w:t>和专家评审意见收悉</w:t>
      </w:r>
      <w:r>
        <w:rPr>
          <w:rFonts w:hint="eastAsia" w:ascii="仿宋" w:hAnsi="仿宋" w:eastAsia="仿宋" w:cs="仿宋"/>
          <w:color w:val="000000" w:themeColor="text1"/>
          <w:sz w:val="32"/>
          <w:szCs w:val="32"/>
          <w:highlight w:val="none"/>
          <w:lang w:val="en-US" w:eastAsia="zh-CN"/>
          <w14:textFill>
            <w14:solidFill>
              <w14:schemeClr w14:val="tx1"/>
            </w14:solidFill>
          </w14:textFill>
        </w:rPr>
        <w:t>，经研究</w:t>
      </w:r>
      <w:r>
        <w:rPr>
          <w:rFonts w:hint="eastAsia" w:ascii="仿宋" w:hAnsi="仿宋" w:eastAsia="仿宋" w:cs="仿宋"/>
          <w:color w:val="000000" w:themeColor="text1"/>
          <w:sz w:val="32"/>
          <w:szCs w:val="32"/>
          <w:highlight w:val="none"/>
          <w14:textFill>
            <w14:solidFill>
              <w14:schemeClr w14:val="tx1"/>
            </w14:solidFill>
          </w14:textFill>
        </w:rPr>
        <w:t>，批复如下：</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一、耒</w:t>
      </w:r>
      <w:r>
        <w:rPr>
          <w:rFonts w:hint="eastAsia" w:ascii="仿宋" w:hAnsi="仿宋" w:eastAsia="仿宋" w:cs="仿宋"/>
          <w:sz w:val="32"/>
          <w:szCs w:val="32"/>
          <w:lang w:val="en-US" w:eastAsia="zh-CN"/>
        </w:rPr>
        <w:t>阳市城农投小城镇开发建设有限公司总</w:t>
      </w:r>
      <w:r>
        <w:rPr>
          <w:rFonts w:hint="eastAsia" w:ascii="仿宋" w:hAnsi="仿宋" w:eastAsia="仿宋" w:cs="仿宋"/>
          <w:sz w:val="32"/>
          <w:szCs w:val="32"/>
        </w:rPr>
        <w:t>投资</w:t>
      </w:r>
      <w:r>
        <w:rPr>
          <w:rFonts w:hint="eastAsia" w:ascii="仿宋" w:hAnsi="仿宋" w:eastAsia="仿宋" w:cs="仿宋"/>
          <w:sz w:val="32"/>
          <w:szCs w:val="32"/>
          <w:lang w:val="en-US" w:eastAsia="zh-CN"/>
        </w:rPr>
        <w:t>19797</w:t>
      </w:r>
      <w:r>
        <w:rPr>
          <w:rFonts w:hint="eastAsia" w:ascii="仿宋" w:hAnsi="仿宋" w:eastAsia="仿宋" w:cs="仿宋"/>
          <w:sz w:val="32"/>
          <w:szCs w:val="32"/>
        </w:rPr>
        <w:t>万元（其中环保投资</w:t>
      </w:r>
      <w:r>
        <w:rPr>
          <w:rFonts w:hint="eastAsia" w:ascii="仿宋" w:hAnsi="仿宋" w:eastAsia="仿宋" w:cs="仿宋"/>
          <w:sz w:val="32"/>
          <w:szCs w:val="32"/>
          <w:lang w:val="en-US" w:eastAsia="zh-CN"/>
        </w:rPr>
        <w:t>252.5</w:t>
      </w:r>
      <w:r>
        <w:rPr>
          <w:rFonts w:hint="eastAsia" w:ascii="仿宋" w:hAnsi="仿宋" w:eastAsia="仿宋" w:cs="仿宋"/>
          <w:sz w:val="32"/>
          <w:szCs w:val="32"/>
        </w:rPr>
        <w:t>万元，占总投资的</w:t>
      </w:r>
      <w:r>
        <w:rPr>
          <w:rFonts w:hint="eastAsia" w:ascii="仿宋" w:hAnsi="仿宋" w:eastAsia="仿宋" w:cs="仿宋"/>
          <w:sz w:val="32"/>
          <w:szCs w:val="32"/>
          <w:lang w:val="en-US" w:eastAsia="zh-CN"/>
        </w:rPr>
        <w:t>1.28</w:t>
      </w:r>
      <w:r>
        <w:rPr>
          <w:rFonts w:hint="eastAsia" w:ascii="仿宋" w:hAnsi="仿宋" w:eastAsia="仿宋" w:cs="仿宋"/>
          <w:sz w:val="32"/>
          <w:szCs w:val="32"/>
        </w:rPr>
        <w:t>%）</w:t>
      </w:r>
      <w:r>
        <w:rPr>
          <w:rFonts w:hint="eastAsia" w:ascii="仿宋" w:hAnsi="仿宋" w:eastAsia="仿宋" w:cs="仿宋"/>
          <w:sz w:val="32"/>
          <w:szCs w:val="32"/>
          <w:lang w:val="en-US" w:eastAsia="zh-CN"/>
        </w:rPr>
        <w:t>在</w:t>
      </w:r>
      <w:r>
        <w:rPr>
          <w:rFonts w:hint="eastAsia" w:ascii="仿宋" w:hAnsi="仿宋" w:eastAsia="仿宋" w:cs="仿宋"/>
          <w:sz w:val="32"/>
          <w:szCs w:val="32"/>
          <w:lang w:eastAsia="zh-CN"/>
        </w:rPr>
        <w:t>衡阳市耒阳市水东江街道竹市社区至大市循环经济产业园</w:t>
      </w:r>
      <w:r>
        <w:rPr>
          <w:rFonts w:hint="eastAsia" w:ascii="仿宋" w:hAnsi="仿宋" w:eastAsia="仿宋" w:cs="仿宋"/>
          <w:sz w:val="32"/>
          <w:szCs w:val="32"/>
          <w:lang w:val="en-US" w:eastAsia="zh-CN"/>
        </w:rPr>
        <w:t>建设耒阳市竹市至大市循环经济产业园公路（耒阳市竹市至哲桥公路二期工程）工程（以下简称“本项目”）</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本</w:t>
      </w:r>
      <w:r>
        <w:rPr>
          <w:rFonts w:hint="default" w:ascii="仿宋" w:hAnsi="仿宋" w:eastAsia="仿宋" w:cs="仿宋"/>
          <w:sz w:val="32"/>
          <w:szCs w:val="32"/>
        </w:rPr>
        <w:t>项目起于竹市东面的双家冲，与G356（对应G356桩号K1077+100）相接，经新塘村后，在文家山附近与S214相交，经大成村、廖家冲，预留平交口与</w:t>
      </w:r>
      <w:r>
        <w:rPr>
          <w:rFonts w:hint="eastAsia" w:ascii="仿宋" w:hAnsi="仿宋" w:eastAsia="仿宋" w:cs="仿宋"/>
          <w:sz w:val="32"/>
          <w:szCs w:val="32"/>
          <w:lang w:eastAsia="zh-CN"/>
        </w:rPr>
        <w:t>大市循环经济产业园</w:t>
      </w:r>
      <w:r>
        <w:rPr>
          <w:rFonts w:hint="default" w:ascii="仿宋" w:hAnsi="仿宋" w:eastAsia="仿宋" w:cs="仿宋"/>
          <w:sz w:val="32"/>
          <w:szCs w:val="32"/>
        </w:rPr>
        <w:t>规划道路相接</w:t>
      </w:r>
      <w:r>
        <w:rPr>
          <w:rFonts w:hint="eastAsia" w:ascii="仿宋" w:hAnsi="仿宋" w:eastAsia="仿宋" w:cs="仿宋"/>
          <w:sz w:val="32"/>
          <w:szCs w:val="32"/>
          <w:lang w:eastAsia="zh-CN"/>
        </w:rPr>
        <w:t>，</w:t>
      </w:r>
      <w:r>
        <w:rPr>
          <w:rFonts w:hint="default" w:ascii="仿宋" w:hAnsi="仿宋" w:eastAsia="仿宋" w:cs="仿宋"/>
          <w:sz w:val="32"/>
          <w:szCs w:val="32"/>
        </w:rPr>
        <w:t>路线全长为7.758km。</w:t>
      </w:r>
      <w:r>
        <w:rPr>
          <w:rFonts w:hint="eastAsia" w:ascii="仿宋" w:hAnsi="仿宋" w:eastAsia="仿宋" w:cs="仿宋"/>
          <w:sz w:val="32"/>
          <w:szCs w:val="32"/>
          <w:lang w:eastAsia="zh-CN"/>
        </w:rPr>
        <w:t>采用</w:t>
      </w:r>
      <w:r>
        <w:rPr>
          <w:rFonts w:hint="default" w:ascii="仿宋" w:hAnsi="仿宋" w:eastAsia="仿宋" w:cs="仿宋"/>
          <w:sz w:val="32"/>
          <w:szCs w:val="32"/>
          <w:lang w:val="en-US" w:eastAsia="zh-CN"/>
        </w:rPr>
        <w:t>二级公路技术标准，设计速度80km/h，路基宽13.5m，路面宽12m，</w:t>
      </w:r>
      <w:r>
        <w:rPr>
          <w:rFonts w:hint="eastAsia" w:ascii="仿宋" w:hAnsi="仿宋" w:eastAsia="仿宋" w:cs="仿宋"/>
          <w:sz w:val="32"/>
          <w:szCs w:val="32"/>
          <w:lang w:val="en-US" w:eastAsia="zh-CN"/>
        </w:rPr>
        <w:t>涵洞共计39道，无桥梁、隧道工程，项目拆除建筑物17116m</w:t>
      </w:r>
      <w:r>
        <w:rPr>
          <w:rFonts w:hint="eastAsia" w:ascii="仿宋" w:hAnsi="仿宋" w:eastAsia="仿宋" w:cs="仿宋"/>
          <w:sz w:val="32"/>
          <w:szCs w:val="32"/>
          <w:vertAlign w:val="superscript"/>
          <w:lang w:val="en-US" w:eastAsia="zh-CN"/>
        </w:rPr>
        <w:t>2</w:t>
      </w:r>
      <w:r>
        <w:rPr>
          <w:rFonts w:hint="eastAsia" w:ascii="仿宋" w:hAnsi="仿宋" w:eastAsia="仿宋" w:cs="仿宋"/>
          <w:sz w:val="32"/>
          <w:szCs w:val="32"/>
          <w:lang w:val="en-US" w:eastAsia="zh-CN"/>
        </w:rPr>
        <w:t>，永久占地</w:t>
      </w:r>
      <w:r>
        <w:rPr>
          <w:rFonts w:hint="eastAsia" w:ascii="仿宋" w:hAnsi="仿宋" w:eastAsia="仿宋" w:cs="仿宋"/>
          <w:color w:val="auto"/>
          <w:sz w:val="32"/>
          <w:szCs w:val="32"/>
          <w:lang w:val="en-US" w:eastAsia="zh-CN"/>
        </w:rPr>
        <w:t>新增</w:t>
      </w:r>
      <w:r>
        <w:rPr>
          <w:rFonts w:hint="eastAsia" w:ascii="仿宋" w:hAnsi="仿宋" w:eastAsia="仿宋" w:cs="仿宋"/>
          <w:sz w:val="32"/>
          <w:szCs w:val="32"/>
          <w:lang w:val="en-US" w:eastAsia="zh-CN"/>
        </w:rPr>
        <w:t>用地12.4604hm</w:t>
      </w:r>
      <w:r>
        <w:rPr>
          <w:rFonts w:hint="eastAsia" w:ascii="仿宋" w:hAnsi="仿宋" w:eastAsia="仿宋" w:cs="仿宋"/>
          <w:sz w:val="32"/>
          <w:szCs w:val="32"/>
          <w:vertAlign w:val="superscript"/>
          <w:lang w:val="en-US" w:eastAsia="zh-CN"/>
        </w:rPr>
        <w:t>2</w:t>
      </w:r>
      <w:r>
        <w:rPr>
          <w:rFonts w:hint="eastAsia" w:ascii="仿宋" w:hAnsi="仿宋" w:eastAsia="仿宋" w:cs="仿宋"/>
          <w:sz w:val="32"/>
          <w:szCs w:val="32"/>
          <w:lang w:val="en-US" w:eastAsia="zh-CN"/>
        </w:rPr>
        <w:t>。</w:t>
      </w:r>
      <w:r>
        <w:rPr>
          <w:rFonts w:hint="default" w:ascii="仿宋" w:hAnsi="仿宋" w:eastAsia="仿宋" w:cs="仿宋"/>
          <w:sz w:val="32"/>
          <w:szCs w:val="32"/>
        </w:rPr>
        <w:t>工程内容包含临时工程</w:t>
      </w:r>
      <w:r>
        <w:rPr>
          <w:rFonts w:hint="eastAsia" w:ascii="仿宋" w:hAnsi="仿宋" w:eastAsia="仿宋" w:cs="仿宋"/>
          <w:sz w:val="32"/>
          <w:szCs w:val="32"/>
          <w:lang w:eastAsia="zh-CN"/>
        </w:rPr>
        <w:t>、路基工程、路面工程、涵洞工程、交叉工程、公路设施、绿化工程、</w:t>
      </w:r>
      <w:r>
        <w:rPr>
          <w:rFonts w:hint="eastAsia" w:ascii="仿宋" w:hAnsi="仿宋" w:eastAsia="仿宋" w:cs="仿宋"/>
          <w:sz w:val="32"/>
          <w:szCs w:val="32"/>
          <w:lang w:val="en-US" w:eastAsia="zh-CN"/>
        </w:rPr>
        <w:t>拆除工程、环保工程等</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本项目不设置沥青搅拌站和混凝土搅拌站，均采购成品料，由专业运输车辆运送。</w:t>
      </w:r>
      <w:r>
        <w:rPr>
          <w:rFonts w:hint="default" w:ascii="仿宋" w:hAnsi="仿宋" w:eastAsia="仿宋" w:cs="仿宋"/>
          <w:color w:val="000000" w:themeColor="text1"/>
          <w:sz w:val="32"/>
          <w:szCs w:val="32"/>
          <w14:textFill>
            <w14:solidFill>
              <w14:schemeClr w14:val="tx1"/>
            </w14:solidFill>
          </w14:textFill>
        </w:rPr>
        <w:t>路线主要控制点为：竹市、长洲、大市循环经济产业园</w:t>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工程其他建设内容、主要技术指标等详见《报告</w:t>
      </w:r>
      <w:r>
        <w:rPr>
          <w:rFonts w:hint="eastAsia" w:ascii="仿宋" w:hAnsi="仿宋" w:eastAsia="仿宋" w:cs="仿宋"/>
          <w:color w:val="000000" w:themeColor="text1"/>
          <w:sz w:val="32"/>
          <w:szCs w:val="32"/>
          <w:lang w:val="en-US" w:eastAsia="zh-CN"/>
          <w14:textFill>
            <w14:solidFill>
              <w14:schemeClr w14:val="tx1"/>
            </w14:solidFill>
          </w14:textFill>
        </w:rPr>
        <w:t>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Times New Roman"/>
          <w:color w:val="auto"/>
          <w:sz w:val="32"/>
          <w:szCs w:val="32"/>
          <w:lang w:val="en-US" w:eastAsia="zh-CN"/>
        </w:rPr>
      </w:pPr>
      <w:r>
        <w:rPr>
          <w:rFonts w:hint="eastAsia" w:ascii="仿宋" w:hAnsi="仿宋" w:eastAsia="仿宋" w:cs="Times New Roman"/>
          <w:color w:val="auto"/>
          <w:sz w:val="32"/>
          <w:szCs w:val="32"/>
          <w:lang w:val="en-US" w:eastAsia="zh-CN"/>
        </w:rPr>
        <w:t>根据专家评审意见，原则上同意环评报告书结论。在严格落实环境影响报告书及专家提出的环境保护与污染防治措施后，对周边环境影响可控。从环保角度分析，本项目建设可行，同意该项目建设。</w:t>
      </w:r>
    </w:p>
    <w:p>
      <w:pPr>
        <w:keepNext w:val="0"/>
        <w:keepLines w:val="0"/>
        <w:pageBreakBefore w:val="0"/>
        <w:kinsoku/>
        <w:wordWrap/>
        <w:overflowPunct/>
        <w:bidi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二</w:t>
      </w:r>
      <w:r>
        <w:rPr>
          <w:rFonts w:hint="eastAsia" w:ascii="仿宋" w:hAnsi="仿宋" w:eastAsia="仿宋" w:cs="仿宋"/>
          <w:sz w:val="32"/>
          <w:szCs w:val="32"/>
        </w:rPr>
        <w:t>、工程在建设和运营过程中，须全面落实环境影响报告书提出的各项环保措施，并着重做好以下工作：</w:t>
      </w:r>
    </w:p>
    <w:p>
      <w:pPr>
        <w:keepNext w:val="0"/>
        <w:keepLines w:val="0"/>
        <w:pageBreakBefore w:val="0"/>
        <w:kinsoku/>
        <w:wordWrap/>
        <w:overflowPunct/>
        <w:bidi w:val="0"/>
        <w:spacing w:line="560" w:lineRule="exact"/>
        <w:ind w:firstLine="640" w:firstLineChars="200"/>
        <w:rPr>
          <w:rFonts w:hint="eastAsia" w:ascii="仿宋" w:hAnsi="仿宋" w:eastAsia="仿宋" w:cs="仿宋"/>
          <w:color w:val="auto"/>
          <w:sz w:val="32"/>
          <w:szCs w:val="32"/>
        </w:rPr>
      </w:pPr>
      <w:r>
        <w:rPr>
          <w:rFonts w:hint="eastAsia" w:ascii="仿宋" w:hAnsi="仿宋" w:eastAsia="仿宋" w:cs="仿宋"/>
          <w:sz w:val="32"/>
          <w:szCs w:val="32"/>
          <w:u w:val="none"/>
          <w:lang w:val="en-US" w:eastAsia="zh-CN"/>
        </w:rPr>
        <w:t>1.优化项目设计。</w:t>
      </w:r>
      <w:r>
        <w:rPr>
          <w:rFonts w:hint="eastAsia" w:ascii="仿宋" w:hAnsi="仿宋" w:eastAsia="仿宋" w:cs="仿宋"/>
          <w:sz w:val="32"/>
          <w:szCs w:val="32"/>
        </w:rPr>
        <w:t>严格控制施工范围，最大限度减少临时占地；合理设置弃渣场、表土暂存场，</w:t>
      </w:r>
      <w:r>
        <w:rPr>
          <w:rFonts w:hint="eastAsia" w:ascii="仿宋" w:hAnsi="仿宋" w:eastAsia="仿宋" w:cs="仿宋"/>
          <w:sz w:val="32"/>
          <w:szCs w:val="32"/>
          <w:u w:val="none"/>
          <w:lang w:val="en-US" w:eastAsia="zh-CN"/>
        </w:rPr>
        <w:t>做好项目占地和生态破坏的补偿和恢复工程。</w:t>
      </w:r>
      <w:r>
        <w:rPr>
          <w:rFonts w:hint="eastAsia" w:ascii="仿宋" w:hAnsi="仿宋" w:eastAsia="仿宋" w:cs="仿宋"/>
          <w:sz w:val="32"/>
          <w:szCs w:val="32"/>
        </w:rPr>
        <w:t>加强公路征地范围内的绿化工作，做好工程区生态景观设计，确保公路绿化景观与主体工程同时设计、同时施</w:t>
      </w:r>
      <w:r>
        <w:rPr>
          <w:rFonts w:hint="eastAsia" w:ascii="仿宋" w:hAnsi="仿宋" w:eastAsia="仿宋" w:cs="仿宋"/>
          <w:color w:val="auto"/>
          <w:sz w:val="32"/>
          <w:szCs w:val="32"/>
        </w:rPr>
        <w:t>工。</w:t>
      </w:r>
    </w:p>
    <w:p>
      <w:pPr>
        <w:keepNext w:val="0"/>
        <w:keepLines w:val="0"/>
        <w:pageBreakBefore w:val="0"/>
        <w:kinsoku/>
        <w:wordWrap/>
        <w:overflowPunct/>
        <w:bidi w:val="0"/>
        <w:spacing w:line="560" w:lineRule="exact"/>
        <w:ind w:firstLine="640" w:firstLineChars="200"/>
        <w:rPr>
          <w:rFonts w:hint="eastAsia" w:ascii="仿宋" w:hAnsi="仿宋" w:eastAsia="仿宋" w:cs="仿宋"/>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加强施工期环境管理。</w:t>
      </w:r>
      <w:r>
        <w:rPr>
          <w:rFonts w:hint="eastAsia" w:ascii="仿宋" w:hAnsi="仿宋" w:eastAsia="仿宋" w:cs="仿宋"/>
          <w:color w:val="auto"/>
          <w:sz w:val="32"/>
          <w:szCs w:val="32"/>
          <w:u w:val="none"/>
          <w:lang w:val="en-US" w:eastAsia="zh-CN"/>
        </w:rPr>
        <w:t>严格落实施工期环境监理，</w:t>
      </w:r>
      <w:r>
        <w:rPr>
          <w:rFonts w:hint="eastAsia" w:ascii="仿宋" w:hAnsi="仿宋" w:eastAsia="仿宋" w:cs="仿宋_GB2312"/>
          <w:color w:val="auto"/>
          <w:kern w:val="2"/>
          <w:sz w:val="32"/>
          <w:szCs w:val="32"/>
          <w:u w:val="none"/>
          <w:lang w:val="en-US" w:eastAsia="zh-CN" w:bidi="ar-SA"/>
        </w:rPr>
        <w:t>合理安排施工时间，禁止大范围铺开施工。</w:t>
      </w:r>
      <w:r>
        <w:rPr>
          <w:rFonts w:hint="eastAsia" w:ascii="仿宋" w:hAnsi="仿宋" w:eastAsia="仿宋" w:cs="仿宋"/>
          <w:color w:val="auto"/>
          <w:sz w:val="32"/>
          <w:szCs w:val="32"/>
        </w:rPr>
        <w:t>施工期生活污水经化粪池处理后用作农肥不外排，生产废水经沉淀池收集处理达标后回用；本工程不设置</w:t>
      </w:r>
      <w:r>
        <w:rPr>
          <w:rFonts w:hint="eastAsia" w:ascii="仿宋" w:hAnsi="仿宋" w:eastAsia="仿宋" w:cs="仿宋"/>
          <w:sz w:val="32"/>
          <w:szCs w:val="32"/>
        </w:rPr>
        <w:t>混凝土拌合站</w:t>
      </w:r>
      <w:r>
        <w:rPr>
          <w:rFonts w:hint="eastAsia" w:ascii="仿宋" w:hAnsi="仿宋" w:eastAsia="仿宋" w:cs="仿宋"/>
          <w:sz w:val="32"/>
          <w:szCs w:val="32"/>
          <w:lang w:val="en-US" w:eastAsia="zh-CN"/>
        </w:rPr>
        <w:t>和</w:t>
      </w:r>
      <w:r>
        <w:rPr>
          <w:rFonts w:hint="eastAsia" w:ascii="仿宋" w:hAnsi="仿宋" w:eastAsia="仿宋" w:cs="仿宋"/>
          <w:snapToGrid w:val="0"/>
          <w:color w:val="auto"/>
          <w:spacing w:val="0"/>
          <w:kern w:val="0"/>
          <w:sz w:val="32"/>
          <w:szCs w:val="32"/>
          <w:lang w:val="en-US" w:eastAsia="zh-CN"/>
        </w:rPr>
        <w:t>沥青拌合站</w:t>
      </w:r>
      <w:r>
        <w:rPr>
          <w:rFonts w:hint="eastAsia" w:ascii="仿宋" w:hAnsi="仿宋" w:eastAsia="仿宋" w:cs="仿宋"/>
          <w:sz w:val="32"/>
          <w:szCs w:val="32"/>
        </w:rPr>
        <w:t>，土石方作业禁止大风天气进行，并采取喷洒水雾、遮盖密封运输等措施；选用低噪声施工机械、设备和工</w:t>
      </w:r>
      <w:bookmarkStart w:id="0" w:name="_GoBack"/>
      <w:bookmarkEnd w:id="0"/>
      <w:r>
        <w:rPr>
          <w:rFonts w:hint="eastAsia" w:ascii="仿宋" w:hAnsi="仿宋" w:eastAsia="仿宋" w:cs="仿宋"/>
          <w:sz w:val="32"/>
          <w:szCs w:val="32"/>
        </w:rPr>
        <w:t>艺，合理安排施工时间，对施工场地附近的敏感目标采取设置移动式声屏障等隔声措施，施工场地必须严格遵守《建筑施工场界环境噪声排放标准》要求，减缓工程施工噪声影响；</w:t>
      </w:r>
      <w:r>
        <w:rPr>
          <w:rFonts w:hint="eastAsia" w:ascii="仿宋" w:hAnsi="仿宋" w:eastAsia="仿宋" w:cs="仿宋"/>
          <w:snapToGrid w:val="0"/>
          <w:color w:val="auto"/>
          <w:spacing w:val="0"/>
          <w:kern w:val="0"/>
          <w:sz w:val="32"/>
          <w:szCs w:val="32"/>
          <w:lang w:val="en-US" w:eastAsia="zh-CN"/>
        </w:rPr>
        <w:t>施工期废气执行《大气污染物综合排放标准》（GB16297-1996）表2无组织排放监控浓度限值要求。</w:t>
      </w:r>
      <w:r>
        <w:rPr>
          <w:rFonts w:hint="eastAsia" w:ascii="仿宋" w:hAnsi="仿宋" w:eastAsia="仿宋" w:cs="仿宋_GB2312"/>
          <w:color w:val="auto"/>
          <w:kern w:val="2"/>
          <w:sz w:val="32"/>
          <w:szCs w:val="32"/>
          <w:u w:val="none"/>
          <w:lang w:val="en-US" w:eastAsia="zh-CN" w:bidi="ar-SA"/>
        </w:rPr>
        <w:t>建设过程中产生的弃渣须有序堆存，合理回填利用，做好土石方平衡工作，减少弃土、弃渣占地及对植被的影响，</w:t>
      </w:r>
      <w:r>
        <w:rPr>
          <w:rFonts w:hint="eastAsia" w:ascii="仿宋" w:hAnsi="仿宋" w:eastAsia="仿宋" w:cs="仿宋"/>
          <w:color w:val="auto"/>
          <w:sz w:val="32"/>
          <w:szCs w:val="32"/>
        </w:rPr>
        <w:t>禁</w:t>
      </w:r>
      <w:r>
        <w:rPr>
          <w:rFonts w:hint="eastAsia" w:ascii="仿宋" w:hAnsi="仿宋" w:eastAsia="仿宋" w:cs="仿宋"/>
          <w:sz w:val="32"/>
          <w:szCs w:val="32"/>
        </w:rPr>
        <w:t>止将施工废渣排入沿线溪渠、农田内。</w:t>
      </w:r>
    </w:p>
    <w:p>
      <w:pPr>
        <w:keepNext w:val="0"/>
        <w:keepLines w:val="0"/>
        <w:pageBreakBefore w:val="0"/>
        <w:widowControl/>
        <w:kinsoku/>
        <w:wordWrap/>
        <w:overflowPunct/>
        <w:topLinePunct/>
        <w:autoSpaceDE w:val="0"/>
        <w:autoSpaceDN w:val="0"/>
        <w:bidi w:val="0"/>
        <w:adjustRightInd w:val="0"/>
        <w:snapToGrid w:val="0"/>
        <w:spacing w:line="560" w:lineRule="exact"/>
        <w:ind w:left="0" w:right="0"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切实落实沿线噪声污染防治措施。进一步优化线路选线，尽量远离居民区，减少交通噪声污染；对线路两侧噪声预测超标的敏感建筑物采取声屏障、隔声窗、降噪绿化带等措施，确保敏感目标达到声环境功能区要求。加强对沿线噪声敏感点的跟踪监测，预留噪声治理资金，根据监测结果及时增补完善降噪措施。</w:t>
      </w:r>
      <w:r>
        <w:rPr>
          <w:rFonts w:hint="default" w:ascii="仿宋" w:hAnsi="仿宋" w:eastAsia="仿宋" w:cs="仿宋"/>
          <w:sz w:val="32"/>
          <w:szCs w:val="32"/>
        </w:rPr>
        <w:t>全工程道路两侧</w:t>
      </w:r>
      <w:r>
        <w:rPr>
          <w:rFonts w:hint="eastAsia" w:ascii="仿宋" w:hAnsi="仿宋" w:eastAsia="仿宋" w:cs="仿宋"/>
          <w:sz w:val="32"/>
          <w:szCs w:val="32"/>
          <w:lang w:val="en-US" w:eastAsia="zh-CN"/>
        </w:rPr>
        <w:t>35</w:t>
      </w:r>
      <w:r>
        <w:rPr>
          <w:rFonts w:hint="default" w:ascii="仿宋" w:hAnsi="仿宋" w:eastAsia="仿宋" w:cs="仿宋"/>
          <w:sz w:val="32"/>
          <w:szCs w:val="32"/>
        </w:rPr>
        <w:t>m内禁止规划学校、医院、住宅</w:t>
      </w:r>
      <w:r>
        <w:rPr>
          <w:rFonts w:hint="eastAsia" w:ascii="仿宋" w:hAnsi="仿宋" w:eastAsia="仿宋" w:cs="仿宋"/>
          <w:sz w:val="32"/>
          <w:szCs w:val="32"/>
        </w:rPr>
        <w:t>等特殊敏感建筑物。</w:t>
      </w:r>
      <w:r>
        <w:rPr>
          <w:rFonts w:hint="default" w:ascii="仿宋" w:hAnsi="仿宋" w:eastAsia="仿宋" w:cs="仿宋"/>
          <w:sz w:val="32"/>
          <w:szCs w:val="32"/>
        </w:rPr>
        <w:t>在进行城镇居住区规划时，应参考本环境影响报告关于公路两侧噪声影响控规范围，并结合当地的地形条件确定相应的防护距离，尽量远离公路。本项目</w:t>
      </w:r>
      <w:r>
        <w:rPr>
          <w:rFonts w:hint="eastAsia" w:ascii="仿宋" w:hAnsi="仿宋" w:eastAsia="仿宋" w:cs="仿宋"/>
          <w:sz w:val="32"/>
          <w:szCs w:val="32"/>
          <w:lang w:eastAsia="zh-CN"/>
        </w:rPr>
        <w:t>道路红线外35m之内执行《声环境质量标准》（GB3096-2008）4a类标准，35m之外执行2类标准；</w:t>
      </w:r>
      <w:r>
        <w:rPr>
          <w:rFonts w:hint="default" w:ascii="仿宋" w:hAnsi="仿宋" w:eastAsia="仿宋" w:cs="仿宋"/>
          <w:sz w:val="32"/>
          <w:szCs w:val="32"/>
        </w:rPr>
        <w:t>评价范围内的学校、医院等特殊声环境敏感建筑物执行2类标准。</w:t>
      </w:r>
    </w:p>
    <w:p>
      <w:pPr>
        <w:keepNext w:val="0"/>
        <w:keepLines w:val="0"/>
        <w:pageBreakBefore w:val="0"/>
        <w:widowControl/>
        <w:kinsoku/>
        <w:wordWrap/>
        <w:overflowPunct/>
        <w:topLinePunct/>
        <w:autoSpaceDE w:val="0"/>
        <w:autoSpaceDN w:val="0"/>
        <w:bidi w:val="0"/>
        <w:adjustRightInd w:val="0"/>
        <w:snapToGrid w:val="0"/>
        <w:spacing w:line="560" w:lineRule="exact"/>
        <w:ind w:left="0" w:right="0" w:firstLine="640" w:firstLineChars="200"/>
        <w:jc w:val="both"/>
        <w:textAlignment w:val="baseline"/>
        <w:rPr>
          <w:rFonts w:hint="eastAsia" w:ascii="仿宋" w:hAnsi="仿宋" w:eastAsia="仿宋" w:cs="仿宋"/>
          <w:color w:val="auto"/>
          <w:sz w:val="32"/>
          <w:szCs w:val="32"/>
          <w:u w:val="none"/>
          <w:lang w:eastAsia="zh-CN"/>
        </w:rPr>
      </w:pPr>
      <w:r>
        <w:rPr>
          <w:rFonts w:hint="eastAsia" w:ascii="仿宋" w:hAnsi="仿宋" w:eastAsia="仿宋" w:cs="仿宋"/>
          <w:sz w:val="32"/>
          <w:szCs w:val="32"/>
          <w:lang w:val="en-US" w:eastAsia="zh-CN"/>
        </w:rPr>
        <w:t>4.</w:t>
      </w:r>
      <w:r>
        <w:rPr>
          <w:rFonts w:hint="default" w:ascii="仿宋" w:hAnsi="仿宋" w:eastAsia="仿宋" w:cs="仿宋"/>
          <w:color w:val="auto"/>
          <w:sz w:val="32"/>
          <w:szCs w:val="32"/>
          <w:u w:val="none"/>
        </w:rPr>
        <w:t>根据《环境空气质量标准》（GB3095-2012）中环境空气质量功能区分类，本路段属于二类区，</w:t>
      </w:r>
      <w:r>
        <w:rPr>
          <w:rFonts w:hint="default" w:ascii="仿宋" w:hAnsi="仿宋" w:eastAsia="仿宋" w:cs="仿宋"/>
          <w:color w:val="auto"/>
          <w:sz w:val="32"/>
          <w:szCs w:val="32"/>
          <w:u w:val="none"/>
        </w:rPr>
        <w:t>执行《环境空气质量标准》（GB3095-2012）中的二级标准</w:t>
      </w:r>
      <w:r>
        <w:rPr>
          <w:rFonts w:hint="eastAsia" w:ascii="仿宋" w:hAnsi="仿宋" w:eastAsia="仿宋" w:cs="仿宋"/>
          <w:color w:val="auto"/>
          <w:sz w:val="32"/>
          <w:szCs w:val="32"/>
          <w:u w:val="none"/>
          <w:lang w:eastAsia="zh-CN"/>
        </w:rPr>
        <w:t>。</w:t>
      </w:r>
    </w:p>
    <w:p>
      <w:pPr>
        <w:keepNext w:val="0"/>
        <w:keepLines w:val="0"/>
        <w:pageBreakBefore w:val="0"/>
        <w:kinsoku/>
        <w:wordWrap/>
        <w:overflowPunct/>
        <w:bidi w:val="0"/>
        <w:spacing w:line="560" w:lineRule="exact"/>
        <w:ind w:firstLine="640" w:firstLineChars="200"/>
        <w:rPr>
          <w:rFonts w:hint="eastAsia" w:ascii="仿宋" w:hAnsi="仿宋" w:eastAsia="仿宋" w:cs="仿宋"/>
          <w:color w:val="auto"/>
          <w:sz w:val="32"/>
          <w:szCs w:val="32"/>
        </w:rPr>
      </w:pPr>
      <w:r>
        <w:rPr>
          <w:rFonts w:hint="eastAsia" w:ascii="仿宋" w:hAnsi="仿宋" w:eastAsia="仿宋" w:cs="仿宋"/>
          <w:sz w:val="32"/>
          <w:szCs w:val="32"/>
          <w:lang w:val="en-US" w:eastAsia="zh-CN"/>
        </w:rPr>
        <w:t>5.</w:t>
      </w:r>
      <w:r>
        <w:rPr>
          <w:rFonts w:hint="eastAsia" w:ascii="仿宋" w:hAnsi="仿宋" w:eastAsia="仿宋" w:cs="仿宋"/>
          <w:color w:val="auto"/>
          <w:sz w:val="32"/>
          <w:szCs w:val="32"/>
        </w:rPr>
        <w:t>工程须按国家相关的法律法规，做好拆迁安置、基础设施保护等工作；工程拆迁安置方案应与工程建设同步进行，妥善解决好工程征地拆迁安置中的社会环境问题。</w:t>
      </w:r>
    </w:p>
    <w:p>
      <w:pPr>
        <w:keepNext w:val="0"/>
        <w:keepLines w:val="0"/>
        <w:pageBreakBefore w:val="0"/>
        <w:kinsoku/>
        <w:wordWrap/>
        <w:overflowPunct/>
        <w:bidi w:val="0"/>
        <w:spacing w:line="560" w:lineRule="exact"/>
        <w:ind w:firstLine="640" w:firstLineChars="200"/>
        <w:rPr>
          <w:rFonts w:hint="eastAsia"/>
          <w:sz w:val="32"/>
          <w:szCs w:val="32"/>
          <w:lang w:val="en-US" w:eastAsia="zh-CN"/>
        </w:rPr>
      </w:pPr>
      <w:r>
        <w:rPr>
          <w:rFonts w:hint="eastAsia" w:ascii="仿宋" w:hAnsi="仿宋" w:eastAsia="仿宋" w:cs="仿宋"/>
          <w:sz w:val="32"/>
          <w:szCs w:val="32"/>
          <w:lang w:val="en-US" w:eastAsia="zh-CN"/>
        </w:rPr>
        <w:t>6.严格落实环境风险防范措施。设置路（桥）面径流收集系统和事故收集池，并设置警示标志。加强公路沿线日常管理，保持各事故池有效容积，确保一旦发生危险品运输事故，能及时收集事故废液、废水等并外运处置，禁止直排外环境。制定环境风险应急预案，报当地生态环境部门备案。</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三</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auto"/>
          <w:sz w:val="32"/>
          <w:szCs w:val="32"/>
          <w:lang w:val="en-US" w:eastAsia="zh-CN"/>
        </w:rPr>
        <w:t>项目建设必须严格执行配套的环境保护设施与主体工程同时设计、同时施工、同时投入使用的“三同时”制度。项目竣工后，按照相关规定做好环保竣工验收工作。环境影响报告经批准后，该项目的规模、地点、生产工艺或环境保护措施发生重大变动的，须重新报批环境影响报告。自环境影响报告批复文件批准之日起，如超过5年方决定工程开工建设的，环境影响报告应当报我局重新审核。日常监管由耒阳生态环境保护综合行政执法大队负责</w:t>
      </w:r>
      <w:r>
        <w:rPr>
          <w:rFonts w:hint="eastAsia" w:ascii="仿宋" w:hAnsi="仿宋" w:eastAsia="仿宋" w:cs="仿宋"/>
          <w:color w:val="000000" w:themeColor="text1"/>
          <w:sz w:val="32"/>
          <w:szCs w:val="32"/>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right"/>
        <w:textAlignment w:val="auto"/>
        <w:outlineLvl w:val="0"/>
        <w:rPr>
          <w:rFonts w:hint="eastAsia" w:ascii="仿宋" w:hAnsi="仿宋" w:eastAsia="仿宋" w:cs="仿宋"/>
          <w:color w:val="000000" w:themeColor="text1"/>
          <w:sz w:val="32"/>
          <w:szCs w:val="32"/>
          <w:highlight w:val="none"/>
          <w:lang w:val="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right"/>
        <w:textAlignment w:val="auto"/>
        <w:outlineLvl w:val="0"/>
        <w:rPr>
          <w:rFonts w:hint="eastAsia" w:ascii="仿宋" w:hAnsi="仿宋" w:eastAsia="仿宋" w:cs="仿宋"/>
          <w:color w:val="000000" w:themeColor="text1"/>
          <w:sz w:val="32"/>
          <w:szCs w:val="32"/>
          <w:highlight w:val="none"/>
          <w:lang w:val="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right"/>
        <w:textAlignment w:val="auto"/>
        <w:outlineLvl w:val="0"/>
        <w:rPr>
          <w:rFonts w:hint="eastAsia" w:ascii="仿宋" w:hAnsi="仿宋" w:eastAsia="仿宋" w:cs="仿宋"/>
          <w:color w:val="000000" w:themeColor="text1"/>
          <w:sz w:val="32"/>
          <w:szCs w:val="32"/>
          <w:highlight w:val="none"/>
          <w:lang w:val="zh-CN"/>
          <w14:textFill>
            <w14:solidFill>
              <w14:schemeClr w14:val="tx1"/>
            </w14:solidFill>
          </w14:textFill>
        </w:rPr>
      </w:pPr>
      <w:r>
        <w:rPr>
          <w:rFonts w:hint="eastAsia" w:ascii="仿宋" w:hAnsi="仿宋" w:eastAsia="仿宋" w:cs="仿宋"/>
          <w:color w:val="000000" w:themeColor="text1"/>
          <w:sz w:val="32"/>
          <w:szCs w:val="32"/>
          <w:highlight w:val="none"/>
          <w:lang w:val="zh-CN"/>
          <w14:textFill>
            <w14:solidFill>
              <w14:schemeClr w14:val="tx1"/>
            </w14:solidFill>
          </w14:textFill>
        </w:rPr>
        <w:t>衡阳市生态环境局</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right"/>
        <w:textAlignment w:val="auto"/>
        <w:rPr>
          <w:rFonts w:hint="eastAsia" w:ascii="仿宋" w:hAnsi="仿宋" w:eastAsia="仿宋" w:cs="仿宋"/>
          <w:color w:val="000000" w:themeColor="text1"/>
          <w:sz w:val="32"/>
          <w:szCs w:val="32"/>
          <w:highlight w:val="none"/>
          <w:lang w:val="zh-CN"/>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202</w:t>
      </w:r>
      <w:r>
        <w:rPr>
          <w:rFonts w:hint="eastAsia" w:ascii="仿宋" w:hAnsi="仿宋" w:eastAsia="仿宋" w:cs="仿宋"/>
          <w:color w:val="000000" w:themeColor="text1"/>
          <w:sz w:val="32"/>
          <w:szCs w:val="32"/>
          <w:highlight w:val="none"/>
          <w:lang w:val="en-US" w:eastAsia="zh-CN"/>
          <w14:textFill>
            <w14:solidFill>
              <w14:schemeClr w14:val="tx1"/>
            </w14:solidFill>
          </w14:textFill>
        </w:rPr>
        <w:t>4</w:t>
      </w:r>
      <w:r>
        <w:rPr>
          <w:rFonts w:hint="eastAsia" w:ascii="仿宋" w:hAnsi="仿宋" w:eastAsia="仿宋" w:cs="仿宋"/>
          <w:color w:val="000000" w:themeColor="text1"/>
          <w:sz w:val="32"/>
          <w:szCs w:val="32"/>
          <w:highlight w:val="none"/>
          <w:lang w:val="zh-CN"/>
          <w14:textFill>
            <w14:solidFill>
              <w14:schemeClr w14:val="tx1"/>
            </w14:solidFill>
          </w14:textFill>
        </w:rPr>
        <w:t>年 月  日</w:t>
      </w:r>
    </w:p>
    <w:p>
      <w:pPr>
        <w:pStyle w:val="2"/>
        <w:keepNext w:val="0"/>
        <w:keepLines w:val="0"/>
        <w:pageBreakBefore w:val="0"/>
        <w:kinsoku/>
        <w:wordWrap/>
        <w:overflowPunct/>
        <w:topLinePunct w:val="0"/>
        <w:bidi w:val="0"/>
        <w:spacing w:line="560" w:lineRule="exact"/>
        <w:textAlignment w:val="auto"/>
        <w:rPr>
          <w:rFonts w:hint="eastAsia" w:ascii="仿宋" w:hAnsi="仿宋" w:eastAsia="仿宋" w:cs="仿宋"/>
          <w:color w:val="000000" w:themeColor="text1"/>
          <w:sz w:val="32"/>
          <w:szCs w:val="32"/>
          <w:highlight w:val="none"/>
          <w:lang w:val="zh-CN"/>
          <w14:textFill>
            <w14:solidFill>
              <w14:schemeClr w14:val="tx1"/>
            </w14:solidFill>
          </w14:textFill>
        </w:rPr>
      </w:pPr>
    </w:p>
    <w:p>
      <w:pPr>
        <w:pStyle w:val="16"/>
        <w:keepNext w:val="0"/>
        <w:keepLines w:val="0"/>
        <w:pageBreakBefore w:val="0"/>
        <w:widowControl w:val="0"/>
        <w:kinsoku/>
        <w:wordWrap/>
        <w:overflowPunct/>
        <w:topLinePunct w:val="0"/>
        <w:bidi w:val="0"/>
        <w:spacing w:line="560" w:lineRule="exact"/>
        <w:textAlignment w:val="auto"/>
        <w:rPr>
          <w:rFonts w:ascii="仿宋" w:hAnsi="仿宋" w:eastAsia="仿宋" w:cs="仿宋"/>
          <w:color w:val="000000" w:themeColor="text1"/>
          <w:sz w:val="32"/>
          <w:szCs w:val="32"/>
          <w:highlight w:val="none"/>
          <w:lang w:val="zh-CN"/>
          <w14:textFill>
            <w14:solidFill>
              <w14:schemeClr w14:val="tx1"/>
            </w14:solidFill>
          </w14:textFill>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auto"/>
    <w:pitch w:val="default"/>
    <w:sig w:usb0="00000000" w:usb1="00000000" w:usb2="0000003F" w:usb3="00000000" w:csb0="603F01FF" w:csb1="FFFF0000"/>
  </w:font>
  <w:font w:name="仿宋">
    <w:panose1 w:val="02010609060101010101"/>
    <w:charset w:val="86"/>
    <w:family w:val="modern"/>
    <w:pitch w:val="default"/>
    <w:sig w:usb0="800002BF" w:usb1="38CF7CFA" w:usb2="00000016" w:usb3="00000000" w:csb0="00040001" w:csb1="00000000"/>
    <w:embedRegular r:id="rId1" w:fontKey="{185AE553-C068-48A1-97D6-97A0A5CD6BF4}"/>
  </w:font>
  <w:font w:name="方正公文小标宋">
    <w:panose1 w:val="02000500000000000000"/>
    <w:charset w:val="86"/>
    <w:family w:val="auto"/>
    <w:pitch w:val="default"/>
    <w:sig w:usb0="A00002BF" w:usb1="38CF7CFA" w:usb2="00000016" w:usb3="00000000" w:csb0="00040001" w:csb1="00000000"/>
    <w:embedRegular r:id="rId2" w:fontKey="{C1E818D0-3E18-412D-A08A-1948B5DFF3BB}"/>
  </w:font>
  <w:font w:name="方正楷体_GBK">
    <w:panose1 w:val="02000000000000000000"/>
    <w:charset w:val="86"/>
    <w:family w:val="auto"/>
    <w:pitch w:val="default"/>
    <w:sig w:usb0="800002BF" w:usb1="38CF7CFA" w:usb2="00000016" w:usb3="00000000" w:csb0="00040000" w:csb1="00000000"/>
    <w:embedRegular r:id="rId3" w:fontKey="{03189A89-C131-4F74-8E90-32A8DACF904D}"/>
  </w:font>
  <w:font w:name="仿宋_GB2312">
    <w:panose1 w:val="02010609030101010101"/>
    <w:charset w:val="86"/>
    <w:family w:val="auto"/>
    <w:pitch w:val="default"/>
    <w:sig w:usb0="00000001" w:usb1="080E0000" w:usb2="00000000" w:usb3="00000000" w:csb0="00040000" w:csb1="00000000"/>
    <w:embedRegular r:id="rId4" w:fontKey="{20D67F92-A72D-4409-B9C9-2C875610512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5"/>
      <w:numFmt w:val="decimal"/>
      <w:pStyle w:val="11"/>
      <w:lvlText w:val="%1"/>
      <w:lvlJc w:val="left"/>
      <w:pPr>
        <w:tabs>
          <w:tab w:val="left" w:pos="360"/>
        </w:tabs>
        <w:ind w:left="428" w:hanging="360"/>
      </w:pPr>
      <w:rPr>
        <w:rFonts w:hint="default" w:cs="Times New Roman"/>
      </w:rPr>
    </w:lvl>
    <w:lvl w:ilvl="1" w:tentative="0">
      <w:start w:val="1"/>
      <w:numFmt w:val="lowerLetter"/>
      <w:lvlText w:val="%2)"/>
      <w:lvlJc w:val="left"/>
      <w:pPr>
        <w:tabs>
          <w:tab w:val="left" w:pos="840"/>
        </w:tabs>
        <w:ind w:left="908" w:hanging="420"/>
      </w:pPr>
      <w:rPr>
        <w:rFonts w:cs="Times New Roman"/>
      </w:rPr>
    </w:lvl>
    <w:lvl w:ilvl="2" w:tentative="0">
      <w:start w:val="1"/>
      <w:numFmt w:val="lowerRoman"/>
      <w:lvlText w:val="%3."/>
      <w:lvlJc w:val="right"/>
      <w:pPr>
        <w:tabs>
          <w:tab w:val="left" w:pos="1260"/>
        </w:tabs>
        <w:ind w:left="1328" w:hanging="420"/>
      </w:pPr>
      <w:rPr>
        <w:rFonts w:cs="Times New Roman"/>
      </w:rPr>
    </w:lvl>
    <w:lvl w:ilvl="3" w:tentative="0">
      <w:start w:val="1"/>
      <w:numFmt w:val="decimal"/>
      <w:lvlText w:val="%4."/>
      <w:lvlJc w:val="left"/>
      <w:pPr>
        <w:tabs>
          <w:tab w:val="left" w:pos="1680"/>
        </w:tabs>
        <w:ind w:left="1748" w:hanging="420"/>
      </w:pPr>
      <w:rPr>
        <w:rFonts w:cs="Times New Roman"/>
      </w:rPr>
    </w:lvl>
    <w:lvl w:ilvl="4" w:tentative="0">
      <w:start w:val="1"/>
      <w:numFmt w:val="lowerLetter"/>
      <w:lvlText w:val="%5)"/>
      <w:lvlJc w:val="left"/>
      <w:pPr>
        <w:tabs>
          <w:tab w:val="left" w:pos="2100"/>
        </w:tabs>
        <w:ind w:left="2168" w:hanging="420"/>
      </w:pPr>
      <w:rPr>
        <w:rFonts w:cs="Times New Roman"/>
      </w:rPr>
    </w:lvl>
    <w:lvl w:ilvl="5" w:tentative="0">
      <w:start w:val="1"/>
      <w:numFmt w:val="lowerRoman"/>
      <w:lvlText w:val="%6."/>
      <w:lvlJc w:val="right"/>
      <w:pPr>
        <w:tabs>
          <w:tab w:val="left" w:pos="2520"/>
        </w:tabs>
        <w:ind w:left="2588" w:hanging="420"/>
      </w:pPr>
      <w:rPr>
        <w:rFonts w:cs="Times New Roman"/>
      </w:rPr>
    </w:lvl>
    <w:lvl w:ilvl="6" w:tentative="0">
      <w:start w:val="1"/>
      <w:numFmt w:val="decimal"/>
      <w:lvlText w:val="%7."/>
      <w:lvlJc w:val="left"/>
      <w:pPr>
        <w:tabs>
          <w:tab w:val="left" w:pos="2940"/>
        </w:tabs>
        <w:ind w:left="3008" w:hanging="420"/>
      </w:pPr>
      <w:rPr>
        <w:rFonts w:cs="Times New Roman"/>
      </w:rPr>
    </w:lvl>
    <w:lvl w:ilvl="7" w:tentative="0">
      <w:start w:val="1"/>
      <w:numFmt w:val="lowerLetter"/>
      <w:lvlText w:val="%8)"/>
      <w:lvlJc w:val="left"/>
      <w:pPr>
        <w:tabs>
          <w:tab w:val="left" w:pos="3360"/>
        </w:tabs>
        <w:ind w:left="3428" w:hanging="420"/>
      </w:pPr>
      <w:rPr>
        <w:rFonts w:cs="Times New Roman"/>
      </w:rPr>
    </w:lvl>
    <w:lvl w:ilvl="8" w:tentative="0">
      <w:start w:val="1"/>
      <w:numFmt w:val="lowerRoman"/>
      <w:lvlText w:val="%9."/>
      <w:lvlJc w:val="right"/>
      <w:pPr>
        <w:tabs>
          <w:tab w:val="left" w:pos="3780"/>
        </w:tabs>
        <w:ind w:left="3848"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zYmVmOGVkNGQ0M2MyYTI4ZjUwZWZkOWM0MWJlNTEifQ=="/>
  </w:docVars>
  <w:rsids>
    <w:rsidRoot w:val="667A4D6C"/>
    <w:rsid w:val="00015EF5"/>
    <w:rsid w:val="012022EC"/>
    <w:rsid w:val="01563243"/>
    <w:rsid w:val="015B1BFA"/>
    <w:rsid w:val="01716735"/>
    <w:rsid w:val="021E0406"/>
    <w:rsid w:val="025263E9"/>
    <w:rsid w:val="03660650"/>
    <w:rsid w:val="04770087"/>
    <w:rsid w:val="054A2ADA"/>
    <w:rsid w:val="05C0648D"/>
    <w:rsid w:val="06003723"/>
    <w:rsid w:val="06436B52"/>
    <w:rsid w:val="07607AC8"/>
    <w:rsid w:val="07A33243"/>
    <w:rsid w:val="0868752A"/>
    <w:rsid w:val="0B05418E"/>
    <w:rsid w:val="0B474B4D"/>
    <w:rsid w:val="0B6B4FB8"/>
    <w:rsid w:val="0EA33B28"/>
    <w:rsid w:val="116E48C1"/>
    <w:rsid w:val="11B67A28"/>
    <w:rsid w:val="13CA017F"/>
    <w:rsid w:val="142369B6"/>
    <w:rsid w:val="142C4E6C"/>
    <w:rsid w:val="15A824EB"/>
    <w:rsid w:val="169015E0"/>
    <w:rsid w:val="169D3553"/>
    <w:rsid w:val="16AF39B2"/>
    <w:rsid w:val="187B20A7"/>
    <w:rsid w:val="18A72612"/>
    <w:rsid w:val="19EF37DD"/>
    <w:rsid w:val="1A171E11"/>
    <w:rsid w:val="1A41167E"/>
    <w:rsid w:val="1A763240"/>
    <w:rsid w:val="1C85027D"/>
    <w:rsid w:val="1C9E6A0D"/>
    <w:rsid w:val="1D80531C"/>
    <w:rsid w:val="1D84047F"/>
    <w:rsid w:val="1DB9298C"/>
    <w:rsid w:val="1FB42039"/>
    <w:rsid w:val="1FE14C76"/>
    <w:rsid w:val="218F5762"/>
    <w:rsid w:val="21946CD8"/>
    <w:rsid w:val="23002281"/>
    <w:rsid w:val="240B6932"/>
    <w:rsid w:val="242805EE"/>
    <w:rsid w:val="243266C6"/>
    <w:rsid w:val="24940FA7"/>
    <w:rsid w:val="262A19FE"/>
    <w:rsid w:val="27523E70"/>
    <w:rsid w:val="28836EDB"/>
    <w:rsid w:val="2ADB7878"/>
    <w:rsid w:val="2CC50A75"/>
    <w:rsid w:val="32DE22DB"/>
    <w:rsid w:val="33AD3342"/>
    <w:rsid w:val="33DD1A41"/>
    <w:rsid w:val="34885E1A"/>
    <w:rsid w:val="368F3009"/>
    <w:rsid w:val="37600AA1"/>
    <w:rsid w:val="3BF87EE2"/>
    <w:rsid w:val="3CE74BDC"/>
    <w:rsid w:val="3E6D18D9"/>
    <w:rsid w:val="3EDF7B46"/>
    <w:rsid w:val="3F6C032A"/>
    <w:rsid w:val="420B38E3"/>
    <w:rsid w:val="4628585D"/>
    <w:rsid w:val="467725BC"/>
    <w:rsid w:val="46F550E3"/>
    <w:rsid w:val="47A85730"/>
    <w:rsid w:val="49635520"/>
    <w:rsid w:val="496B7493"/>
    <w:rsid w:val="4A804ACC"/>
    <w:rsid w:val="4E043C41"/>
    <w:rsid w:val="4E9E7BFB"/>
    <w:rsid w:val="4F1D6097"/>
    <w:rsid w:val="50164444"/>
    <w:rsid w:val="517558C7"/>
    <w:rsid w:val="52476247"/>
    <w:rsid w:val="543A0504"/>
    <w:rsid w:val="54465537"/>
    <w:rsid w:val="54DA6E61"/>
    <w:rsid w:val="56840B69"/>
    <w:rsid w:val="574A0A51"/>
    <w:rsid w:val="59D26043"/>
    <w:rsid w:val="5A6A4736"/>
    <w:rsid w:val="5A8407A5"/>
    <w:rsid w:val="5B2B6AD5"/>
    <w:rsid w:val="5BAD33A1"/>
    <w:rsid w:val="5BB547C6"/>
    <w:rsid w:val="5C471564"/>
    <w:rsid w:val="5D3147F9"/>
    <w:rsid w:val="5DEF03AB"/>
    <w:rsid w:val="5E381B33"/>
    <w:rsid w:val="62172BC6"/>
    <w:rsid w:val="62294419"/>
    <w:rsid w:val="62576B11"/>
    <w:rsid w:val="636415F4"/>
    <w:rsid w:val="64055F8C"/>
    <w:rsid w:val="667A4D6C"/>
    <w:rsid w:val="66B912B0"/>
    <w:rsid w:val="66F61BBC"/>
    <w:rsid w:val="67162367"/>
    <w:rsid w:val="67173AF0"/>
    <w:rsid w:val="679C7030"/>
    <w:rsid w:val="67AE370F"/>
    <w:rsid w:val="68574864"/>
    <w:rsid w:val="698F6A78"/>
    <w:rsid w:val="701E6E74"/>
    <w:rsid w:val="7097375F"/>
    <w:rsid w:val="716C51D8"/>
    <w:rsid w:val="734D33E2"/>
    <w:rsid w:val="75F96CF3"/>
    <w:rsid w:val="769A10A4"/>
    <w:rsid w:val="76B06A3C"/>
    <w:rsid w:val="7763449B"/>
    <w:rsid w:val="78922E43"/>
    <w:rsid w:val="79A76741"/>
    <w:rsid w:val="7A757BA6"/>
    <w:rsid w:val="7A9008B8"/>
    <w:rsid w:val="7CF81D36"/>
    <w:rsid w:val="7FEC69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等线" w:cs="Times New Roman"/>
      <w:kern w:val="2"/>
      <w:sz w:val="21"/>
      <w:szCs w:val="22"/>
      <w:lang w:val="en-US" w:eastAsia="zh-CN" w:bidi="ar-SA"/>
    </w:rPr>
  </w:style>
  <w:style w:type="paragraph" w:styleId="5">
    <w:name w:val="heading 2"/>
    <w:basedOn w:val="1"/>
    <w:next w:val="1"/>
    <w:autoRedefine/>
    <w:qFormat/>
    <w:uiPriority w:val="0"/>
    <w:pPr>
      <w:keepNext/>
      <w:keepLines/>
      <w:spacing w:before="260" w:after="260" w:line="416" w:lineRule="auto"/>
      <w:outlineLvl w:val="1"/>
    </w:pPr>
    <w:rPr>
      <w:rFonts w:ascii="Cambria" w:hAnsi="Cambria"/>
      <w:bCs/>
      <w:sz w:val="28"/>
      <w:szCs w:val="32"/>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autoRedefine/>
    <w:qFormat/>
    <w:uiPriority w:val="99"/>
    <w:pPr>
      <w:spacing w:after="120"/>
    </w:pPr>
    <w:rPr>
      <w:kern w:val="0"/>
      <w:sz w:val="20"/>
    </w:rPr>
  </w:style>
  <w:style w:type="paragraph" w:customStyle="1" w:styleId="3">
    <w:name w:val="xl27"/>
    <w:basedOn w:val="4"/>
    <w:next w:val="1"/>
    <w:autoRedefine/>
    <w:qFormat/>
    <w:uiPriority w:val="0"/>
    <w:pPr>
      <w:widowControl/>
      <w:pBdr>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Cs w:val="21"/>
    </w:rPr>
  </w:style>
  <w:style w:type="paragraph" w:styleId="4">
    <w:name w:val="table of authorities"/>
    <w:basedOn w:val="1"/>
    <w:next w:val="1"/>
    <w:autoRedefine/>
    <w:qFormat/>
    <w:uiPriority w:val="0"/>
    <w:pPr>
      <w:ind w:left="420" w:leftChars="200"/>
    </w:pPr>
  </w:style>
  <w:style w:type="paragraph" w:styleId="6">
    <w:name w:val="Normal Indent"/>
    <w:basedOn w:val="1"/>
    <w:next w:val="1"/>
    <w:autoRedefine/>
    <w:qFormat/>
    <w:uiPriority w:val="0"/>
    <w:pPr>
      <w:ind w:firstLine="420" w:firstLineChars="200"/>
    </w:pPr>
    <w:rPr>
      <w:rFonts w:ascii="Times New Roman" w:hAnsi="Times New Roman"/>
      <w:szCs w:val="20"/>
    </w:rPr>
  </w:style>
  <w:style w:type="paragraph" w:styleId="7">
    <w:name w:val="footer"/>
    <w:basedOn w:val="1"/>
    <w:autoRedefine/>
    <w:qFormat/>
    <w:uiPriority w:val="0"/>
    <w:pPr>
      <w:tabs>
        <w:tab w:val="center" w:pos="4153"/>
        <w:tab w:val="right" w:pos="8306"/>
      </w:tabs>
      <w:snapToGrid w:val="0"/>
      <w:jc w:val="left"/>
    </w:pPr>
    <w:rPr>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1">
    <w:name w:val="Body Text First Indent 21"/>
    <w:basedOn w:val="12"/>
    <w:autoRedefine/>
    <w:qFormat/>
    <w:uiPriority w:val="99"/>
    <w:pPr>
      <w:numPr>
        <w:ilvl w:val="0"/>
        <w:numId w:val="1"/>
      </w:numPr>
      <w:spacing w:line="360" w:lineRule="auto"/>
      <w:ind w:left="0" w:firstLine="562" w:firstLineChars="200"/>
      <w:jc w:val="left"/>
    </w:pPr>
  </w:style>
  <w:style w:type="paragraph" w:customStyle="1" w:styleId="12">
    <w:name w:val="Body Text Indent1"/>
    <w:basedOn w:val="1"/>
    <w:autoRedefine/>
    <w:qFormat/>
    <w:uiPriority w:val="99"/>
    <w:pPr>
      <w:spacing w:after="120"/>
      <w:ind w:left="420" w:leftChars="200"/>
    </w:pPr>
  </w:style>
  <w:style w:type="paragraph" w:customStyle="1" w:styleId="13">
    <w:name w:val="A正文1"/>
    <w:basedOn w:val="1"/>
    <w:autoRedefine/>
    <w:qFormat/>
    <w:uiPriority w:val="0"/>
    <w:pPr>
      <w:spacing w:line="360" w:lineRule="auto"/>
      <w:ind w:firstLine="480" w:firstLineChars="200"/>
    </w:pPr>
    <w:rPr>
      <w:sz w:val="24"/>
      <w:szCs w:val="28"/>
    </w:rPr>
  </w:style>
  <w:style w:type="paragraph" w:customStyle="1" w:styleId="14">
    <w:name w:val="BG-正文"/>
    <w:basedOn w:val="1"/>
    <w:autoRedefine/>
    <w:semiHidden/>
    <w:qFormat/>
    <w:uiPriority w:val="0"/>
    <w:pPr>
      <w:spacing w:line="360" w:lineRule="auto"/>
      <w:ind w:firstLine="200" w:firstLineChars="200"/>
    </w:pPr>
    <w:rPr>
      <w:color w:val="000000"/>
      <w:sz w:val="24"/>
    </w:rPr>
  </w:style>
  <w:style w:type="paragraph" w:customStyle="1" w:styleId="15">
    <w:name w:val="正文 首行缩进:  2 字符"/>
    <w:basedOn w:val="1"/>
    <w:autoRedefine/>
    <w:qFormat/>
    <w:uiPriority w:val="0"/>
    <w:pPr>
      <w:ind w:firstLine="579" w:firstLineChars="200"/>
    </w:pPr>
    <w:rPr>
      <w:sz w:val="28"/>
      <w:szCs w:val="20"/>
    </w:rPr>
  </w:style>
  <w:style w:type="paragraph" w:customStyle="1" w:styleId="16">
    <w:name w:val="Default1"/>
    <w:autoRedefine/>
    <w:qFormat/>
    <w:uiPriority w:val="0"/>
    <w:pPr>
      <w:widowControl w:val="0"/>
      <w:autoSpaceDE w:val="0"/>
      <w:autoSpaceDN w:val="0"/>
      <w:adjustRightInd w:val="0"/>
      <w:spacing w:line="360" w:lineRule="auto"/>
    </w:pPr>
    <w:rPr>
      <w:rFonts w:ascii="Times New Roman" w:hAnsi="Times New Roman" w:eastAsia="宋体" w:cs="宋体"/>
      <w:color w:val="000000"/>
      <w:sz w:val="24"/>
      <w:szCs w:val="24"/>
      <w:lang w:val="en-US" w:eastAsia="zh-CN" w:bidi="ar-SA"/>
    </w:rPr>
  </w:style>
  <w:style w:type="paragraph" w:customStyle="1" w:styleId="17">
    <w:name w:val="pa-3"/>
    <w:basedOn w:val="1"/>
    <w:autoRedefine/>
    <w:qFormat/>
    <w:uiPriority w:val="0"/>
    <w:pPr>
      <w:widowControl/>
      <w:spacing w:line="360" w:lineRule="atLeast"/>
      <w:ind w:firstLine="640"/>
    </w:pPr>
    <w:rPr>
      <w:rFonts w:ascii="宋体" w:hAnsi="宋体" w:cs="宋体"/>
      <w:kern w:val="0"/>
      <w:sz w:val="24"/>
    </w:rPr>
  </w:style>
  <w:style w:type="paragraph" w:customStyle="1" w:styleId="18">
    <w:name w:val="正文内容"/>
    <w:basedOn w:val="1"/>
    <w:autoRedefine/>
    <w:qFormat/>
    <w:uiPriority w:val="0"/>
    <w:pPr>
      <w:spacing w:line="360" w:lineRule="auto"/>
      <w:ind w:firstLine="200" w:firstLineChars="200"/>
    </w:pPr>
    <w:rPr>
      <w:kern w:val="0"/>
      <w:sz w:val="24"/>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1952</Words>
  <Characters>2079</Characters>
  <Lines>0</Lines>
  <Paragraphs>0</Paragraphs>
  <TotalTime>110</TotalTime>
  <ScaleCrop>false</ScaleCrop>
  <LinksUpToDate>false</LinksUpToDate>
  <CharactersWithSpaces>2082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2023-01-03T00:52:00Z</dcterms:created>
  <dc:creator>Administrator</dc:creator>
  <cp:lastModifiedBy>私家糖水铺</cp:lastModifiedBy>
  <cp:lastPrinted>2024-05-21T09:02:00Z</cp:lastPrinted>
  <dcterms:modified xsi:type="dcterms:W3CDTF">2024-05-22T03:54:15Z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8AFC5CE4A4B1429597D9B2E167657326_13</vt:lpwstr>
  </property>
</Properties>
</file>