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79A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79AC"/>
          <w:spacing w:val="0"/>
          <w:sz w:val="36"/>
          <w:szCs w:val="36"/>
          <w:bdr w:val="none" w:color="auto" w:sz="0" w:space="0"/>
        </w:rPr>
        <w:t>关于终止部分典当企业经营许可的通知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索引号：430S00/2022-02001942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题裁分类：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发布机构：省地方金融监督管理局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发文日期：2022-04-29 15:04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主题分类：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主题词：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1"/>
          <w:szCs w:val="21"/>
          <w:bdr w:val="none" w:color="auto" w:sz="0" w:space="0"/>
        </w:rPr>
        <w:t>名称：关于终止部分典当企业经营许可的通知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等线" w:hAnsi="等线" w:eastAsia="等线" w:cs="等线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84"/>
        <w:jc w:val="center"/>
      </w:pPr>
      <w:r>
        <w:rPr>
          <w:rFonts w:ascii="仿宋_GB2312" w:hAnsi="等线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湘金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监发〔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23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各市州金融办、省典当行业协会、有关典当企业：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根据《典当管理办法》（商务部、公安部令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2005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年第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号）、《典当行业监管规定》（商流通发〔2012〕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423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号）及省地方金融监督管理局《关于开展2020年度典当企业年审工作的通知》（湘金监发〔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1〕58号）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、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《关于进一步做好2020年度典当企业年审后续有关工作的通知》（湘金监发〔2022〕2号）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等文件要求，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我局组织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开展了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全省典当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企业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年度年审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及后续整改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工作。经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省、市州、县（市、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区）三级地方金融监管部门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审核验收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，湖南瑞通典当有限责任公司等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19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家典当企业（名单见附件）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被认定为年审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不通过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企业，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已不具备典当经营资格，我局决定终止其典当经营许可，收回《典当经营许可证》。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请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属地市州地方金融监管部门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收回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辖内相关典当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企业的《典当经营许可证》，集中收缴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上交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局。上述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家企业应当停止开展新增典当业务，妥善处置存量业务，主动向属地市场监管部门申请企业名称、经营范围等变更或注销登记。属地市、县地方金融监管部门应坚持守土负责、守土尽责，积极做好辖内相关典当企业市场出清善后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附件：终止典当经营许可的典当企业名单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320"/>
        <w:jc w:val="right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湖南省地方金融监督管理局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                               2022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29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终止典当经营许可的典当企业名单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1"/>
        <w:gridCol w:w="1417"/>
        <w:gridCol w:w="5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 州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  沙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湖南瑞通典当有限责任公司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湖南长誉典当有限责任公司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衡  阳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（6家）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衡阳县新隆典当有限公司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耒阳市龙腾典当有限公司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耒阳市金爵典当有限公司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衡阳市兴龙典当有限责任公司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衡阳市鹏诚典当有限责任公司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耒阳均源顺典当有限公司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岳  阳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华容广银典当有限责任公司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张家界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桑植融丰典当有限公司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郴  州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（5家）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郴州市邦程典当有限公司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安仁县泰恒典当有限公司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湖南省旭丰典当有限公司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桂阳华丰典当有限责任公司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郴州汇丰世纪典当有限公司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永  州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蓝山县诚信典当有限责任公司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东安县大中小典当有限责任公司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娄  底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湖南东升典当有限公司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湘  西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湘西自治州汇通典当有限责任公司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56322"/>
    <w:multiLevelType w:val="multilevel"/>
    <w:tmpl w:val="B86563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WYxZDdhOWI2YTE1Mzc5ZGY1YTU0NTU2OWQ1Y2MifQ=="/>
  </w:docVars>
  <w:rsids>
    <w:rsidRoot w:val="615B08EE"/>
    <w:rsid w:val="615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2024-01-30T07:41:00Z</dcterms:created>
  <dc:creator>陈永红</dc:creator>
  <cp:lastModifiedBy>陈永红</cp:lastModifiedBy>
  <dcterms:modified xsi:type="dcterms:W3CDTF">2024-01-30T07:41:39Z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19BFB81C6D8147A696112315AA371565_11</vt:lpwstr>
  </property>
</Properties>
</file>