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部门整体支出绩效评价报告</w:t>
      </w:r>
    </w:p>
    <w:p>
      <w:pPr>
        <w:spacing w:line="600" w:lineRule="exact"/>
        <w:jc w:val="center"/>
        <w:rPr>
          <w:rFonts w:eastAsia="楷体_GB2312"/>
          <w:color w:val="auto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一、部门、单位基本情况</w:t>
      </w:r>
    </w:p>
    <w:p>
      <w:pPr>
        <w:pStyle w:val="20"/>
        <w:widowControl/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（一）部门概况</w:t>
      </w:r>
    </w:p>
    <w:p>
      <w:pPr>
        <w:pStyle w:val="20"/>
        <w:widowControl/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市现有各级各类学校295所，其中小学207所（含教学点90个，50人以下7个）、初中43所、九年一贯制学校23所、高中11所、完全中学3所、中职5所，教师进修学校、特殊教育学校、未成年人社会观护帮教学校各1所；幼儿园261所，其中公办园90所；校外培训机构114所。</w:t>
      </w:r>
    </w:p>
    <w:p>
      <w:pPr>
        <w:pStyle w:val="20"/>
        <w:widowControl/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市现有在校学生（幼儿）24.23万人，其中小学10.36万人、初中6.27万人、普高3.51万人、中职0.8万人、幼儿3.79万人；城区学生16.41万人，农村4.53万人；义务教育阶段公办学校学生163588人，民办1830人，公办占比98.9%。</w:t>
      </w:r>
    </w:p>
    <w:p>
      <w:pPr>
        <w:pStyle w:val="20"/>
        <w:widowControl/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市现有在职公办教职员工10717人（含新老三类编外合同工134人），男教职工4010人，男女比例0.6：1；小学5657人，初中3226人，普高1428人，其他学校406人（教师进修学校49人、职校236人、特校41人，幼儿园教职工80人）。享受国务院津贴1人，特级教师11人，高级教师1380人，硕士研究生75人，本科7293人，小学、初中专任教师本科以上学历占比分别达到55.8%、81.2%，普通高中专任教师研究生学历占比达3.6%。全市离退休教师5536人，民办学校教师2398人，培训机构教师388人，民办幼儿园教师（含保育员）3204人。</w:t>
      </w:r>
    </w:p>
    <w:p>
      <w:pPr>
        <w:pStyle w:val="20"/>
        <w:widowControl/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近三年来，在市委、政府的坚强领导下，我市教育各项工作稳步推进。全面加强教育工作市级领导定点联校制度，经常深入教育领域调研，着力解决学位建设、师资招聘、校园安全、教育民生等工作，耒阳教育取得了前所未有的成绩，办成了多年来想办而未办成的国字号大事，解决了老百姓强烈关注的许多焦点、难点问题，基本化解了长期以来的“上学难、入园贵”问题，秋季招生实现历史性转变且平稳有序，义均国检、教育扶贫高分通过，心理健康教育课题研究纳入省级课题立项，学位建设跑出耒阳“加速度”，职业教育技能大赛获奖名次及人数稳居衡阳第一、全省第二。</w:t>
      </w:r>
    </w:p>
    <w:p>
      <w:pPr>
        <w:pStyle w:val="20"/>
        <w:widowControl/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（二）部门职责职能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131313"/>
          <w:sz w:val="32"/>
          <w:szCs w:val="32"/>
          <w:lang w:eastAsia="zh-CN"/>
        </w:rPr>
        <w:t>我局是</w:t>
      </w:r>
      <w:r>
        <w:rPr>
          <w:rFonts w:ascii="Times New Roman" w:hAnsi="Times New Roman" w:eastAsia="仿宋_GB2312"/>
          <w:color w:val="131313"/>
          <w:sz w:val="32"/>
          <w:szCs w:val="32"/>
        </w:rPr>
        <w:t>耒阳市人民政府组成局，是耒阳市人民政府主管教育工作的职能部门。主要职责是综合管理耒阳市的基础教育、职业技术教育、成人教育、社会力量办学，指导、协调局直属单位及各乡镇街道办事处的教育工作，并对耒阳市教育系统的教职员工及在校学生进行管理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二、部门整体收支情况</w:t>
      </w:r>
    </w:p>
    <w:p>
      <w:pPr>
        <w:pStyle w:val="20"/>
        <w:widowControl/>
        <w:spacing w:line="600" w:lineRule="exac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2022年度部门整体收入情况</w:t>
      </w:r>
    </w:p>
    <w:p>
      <w:pPr>
        <w:pStyle w:val="20"/>
        <w:widowControl/>
        <w:spacing w:line="600" w:lineRule="exact"/>
        <w:rPr>
          <w:rFonts w:hint="default" w:ascii="Times New Roman" w:hAnsi="Times New Roman" w:eastAsia="仿宋_GB2312" w:cs="宋体"/>
          <w:color w:val="13131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color w:val="131313"/>
          <w:kern w:val="0"/>
          <w:sz w:val="32"/>
          <w:szCs w:val="32"/>
          <w:lang w:val="en-US" w:eastAsia="zh-CN" w:bidi="ar-SA"/>
        </w:rPr>
        <w:t>2022年度收入总计124378.19万元。与2021年相比，增加17812.78万元，增加16.72%，主要是因为政府购买学位、配建学校、改扩建学校和教师人数增加。</w:t>
      </w:r>
    </w:p>
    <w:p>
      <w:pPr>
        <w:pStyle w:val="20"/>
        <w:widowControl/>
        <w:spacing w:line="600" w:lineRule="exact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2022年度部门整体支出情况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131313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13131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131313"/>
          <w:sz w:val="32"/>
          <w:szCs w:val="32"/>
        </w:rPr>
        <w:t>年度支出总计</w:t>
      </w:r>
      <w:r>
        <w:rPr>
          <w:rFonts w:hint="eastAsia" w:ascii="Times New Roman" w:hAnsi="Times New Roman" w:eastAsia="仿宋_GB2312"/>
          <w:color w:val="131313"/>
          <w:sz w:val="32"/>
          <w:szCs w:val="32"/>
          <w:lang w:val="en-US" w:eastAsia="zh-CN"/>
        </w:rPr>
        <w:t>142088.65</w:t>
      </w:r>
      <w:r>
        <w:rPr>
          <w:rFonts w:hint="eastAsia" w:ascii="Times New Roman" w:hAnsi="Times New Roman" w:eastAsia="仿宋_GB2312"/>
          <w:color w:val="131313"/>
          <w:sz w:val="32"/>
          <w:szCs w:val="32"/>
        </w:rPr>
        <w:t>万元。与20</w:t>
      </w:r>
      <w:r>
        <w:rPr>
          <w:rFonts w:hint="eastAsia" w:ascii="Times New Roman" w:hAnsi="Times New Roman" w:eastAsia="仿宋_GB2312"/>
          <w:color w:val="131313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color w:val="131313"/>
          <w:sz w:val="32"/>
          <w:szCs w:val="32"/>
        </w:rPr>
        <w:t>年相比，</w:t>
      </w:r>
      <w:r>
        <w:rPr>
          <w:rFonts w:hint="eastAsia" w:ascii="Times New Roman" w:hAnsi="Times New Roman" w:eastAsia="仿宋_GB2312"/>
          <w:color w:val="131313"/>
          <w:sz w:val="32"/>
          <w:szCs w:val="32"/>
          <w:lang w:val="en-US" w:eastAsia="zh-CN"/>
        </w:rPr>
        <w:t>增加15369.77</w:t>
      </w:r>
      <w:r>
        <w:rPr>
          <w:rFonts w:hint="eastAsia" w:ascii="Times New Roman" w:hAnsi="Times New Roman" w:eastAsia="仿宋_GB2312"/>
          <w:color w:val="131313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131313"/>
          <w:sz w:val="32"/>
          <w:szCs w:val="32"/>
          <w:lang w:val="en-US" w:eastAsia="zh-CN"/>
        </w:rPr>
        <w:t>增加12.13</w:t>
      </w:r>
      <w:r>
        <w:rPr>
          <w:rFonts w:hint="eastAsia" w:ascii="Times New Roman" w:hAnsi="Times New Roman" w:eastAsia="仿宋_GB2312"/>
          <w:color w:val="131313"/>
          <w:sz w:val="32"/>
          <w:szCs w:val="32"/>
        </w:rPr>
        <w:t>%，</w:t>
      </w:r>
      <w:r>
        <w:rPr>
          <w:rFonts w:hint="eastAsia" w:ascii="Times New Roman" w:hAnsi="Times New Roman" w:eastAsia="仿宋_GB2312" w:cs="宋体"/>
          <w:color w:val="131313"/>
          <w:kern w:val="0"/>
          <w:sz w:val="32"/>
          <w:szCs w:val="32"/>
          <w:lang w:val="en-US" w:eastAsia="zh-CN" w:bidi="ar-SA"/>
        </w:rPr>
        <w:t>主要是因为政府购买学位、配建学校、改扩建学校和教师人数增加。</w:t>
      </w:r>
    </w:p>
    <w:p>
      <w:pPr>
        <w:pStyle w:val="20"/>
        <w:widowControl/>
        <w:spacing w:line="600" w:lineRule="exact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（三）2022年度结转结余情况</w:t>
      </w:r>
    </w:p>
    <w:p>
      <w:pPr>
        <w:pStyle w:val="20"/>
        <w:widowControl/>
        <w:spacing w:line="600" w:lineRule="exac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2022年度本单位无结转结余。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三、一般公共预算收支情况</w:t>
      </w:r>
    </w:p>
    <w:p>
      <w:pPr>
        <w:pStyle w:val="20"/>
        <w:widowControl/>
        <w:spacing w:line="600" w:lineRule="exact"/>
        <w:ind w:left="640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（一）一般公共预算收入</w:t>
      </w:r>
    </w:p>
    <w:p>
      <w:pPr>
        <w:pStyle w:val="20"/>
        <w:widowControl/>
        <w:spacing w:line="600" w:lineRule="exac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2022年度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一般公共预算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收入总计123114.78万元，与2021年相比，增加17005.83万元,增加16.03%，</w:t>
      </w:r>
      <w:r>
        <w:rPr>
          <w:rFonts w:hint="eastAsia" w:ascii="Times New Roman" w:hAnsi="Times New Roman" w:eastAsia="仿宋_GB2312" w:cs="宋体"/>
          <w:color w:val="131313"/>
          <w:kern w:val="0"/>
          <w:sz w:val="32"/>
          <w:szCs w:val="32"/>
          <w:lang w:val="en-US" w:eastAsia="zh-CN" w:bidi="ar-SA"/>
        </w:rPr>
        <w:t>主要是因为政府购买学位、配建学校、改扩建学校和教师人数增加。</w:t>
      </w:r>
    </w:p>
    <w:p>
      <w:pPr>
        <w:pStyle w:val="20"/>
        <w:widowControl/>
        <w:spacing w:line="600" w:lineRule="exact"/>
        <w:ind w:left="640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（二）一般公共预算支出</w:t>
      </w:r>
    </w:p>
    <w:p>
      <w:pPr>
        <w:pStyle w:val="20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1.基本支出情况</w:t>
      </w:r>
    </w:p>
    <w:p>
      <w:pPr>
        <w:pStyle w:val="22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一般公共预算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基本支出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99216.93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万元，其中：人员经费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98606.37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万元，占基本支出的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99.39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%,主要包括基本工资、津贴补贴、奖金、伙食补助费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；公用经费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610.55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万元，占基本支出的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0.61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%，主要包括办公费、印刷费、咨询费、手续费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</w:p>
    <w:p>
      <w:pPr>
        <w:pStyle w:val="20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2.项目支出情况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年度专项资金安排和使用管理情况，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项目1，教育督导工作经费，预算5万元，实际支付0万元，支付率为0%；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项目2，普通高中国家助学金，预算940万元，实际支付82万元，支付率为8.72%；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项目3，学前教育生均公用经费，预算1859万元，实际支付0万元，支付率为0%；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项目4，教育发展支出（民转公本级配套），预算4000万元，实际支付657.06万元，支付率为100%；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项目5，定向师范生培养经费，预算299.94万元，实际支付72.84万元，支付率为24.28%；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项目6，家庭经济困难幼儿补助资金，预算338.6万元，实际支付338.6万元，支付率为100%；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项目7，各民办学校生均公用经费，预算4938.276万元，实际支付673.325万元，支付率为13.63%；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项目8，三区教师专项计划选派工作，预算38万元，实际支付35万元，支付率为92.11%；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项目9，义务教育阶段教师体检经费，预算150万元，实际支付0万元，支付率为0%；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项目10，中职国家免学费金，预算1137.84万元，实际支付227.62万元，支付率为20%；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项目11，2017年购买一年级学位（2020年下-2021年上），预算575万元，实际支付0万元，支付率为0%；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项目12，补“天窗”之一，非普惠性幼儿园建档立卡困难补助资金，预算14.1万元，实际支付14.1万元，支付率为100%；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项目13，学前教育发展资金，预算1034万元，实际支付440.3万元，支付率为42.58%；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项目14，2018年购买一年级学位（2021年下-2022年上），预算58.4万元，实际支付0万元，支付率为0%；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项目15，2018年下化解大班额与师大附中合作办学，预算500万元，实际支付0万元，支付率为0%；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项目16，义务教育阶段家庭经济困难生活补助，预算1930.3万元，实际支付1372.3万元，支付率为71.09%；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项目17，教师培训费，预算100万元，实际支付41.23万元，支付率为41.23%；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项目18，原民办、代课老师生活困难补助，预算845万元，实际支付830.57万元，支付率为98.29%；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项目19，义务教育薄弱环节改善与能力提升，预算2425万元，实际支付1936.85万元，支付率为79.87%；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项目20，乡镇标准化寄宿制学校建设，预算247万元，实际支付247万元，支付率为100%；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项目21，城乡义务教育经费保障机制改革资金（校舍维修改造），预算3218万元，实际支付759.15万元，支付率为23.59%；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项目22，学前教育专项资金，预算5万元，实际支付5万元，支付率为100%；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项目23，校车专项、维稳经费，预算141万元，实际支付124万元，支付率为87.94%；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项目24，普通高中免学杂费资金，预算260万元，实际支付254.65万元，支付率为97.94%；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项目25，普通高中免教科书，预算68万元，实际支付0万元，支付率为0%；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项目26，中职国家助学金资金，预算142.2万元，实际支付142.2万元，支付率为100%；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项目27，特殊教育专项补助，预算135万元，实际支付0万元，支付率为0%；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项目28，生均公用经费，预算11267.77万元，实际支付3476.09万元，支付率为30.85%；</w:t>
      </w:r>
    </w:p>
    <w:p>
      <w:pPr>
        <w:widowControl/>
        <w:spacing w:line="600" w:lineRule="exact"/>
        <w:ind w:firstLine="600" w:firstLineChars="200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项目29，中小学幼儿园教师国家级培训，预算5.6万元，实际支付5.6万元，支付率为100%；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政府性基金预算支出情况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30"/>
          <w:szCs w:val="30"/>
          <w:highlight w:val="none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 w:bidi="ar-SA"/>
        </w:rPr>
        <w:t xml:space="preserve">2022年本单位政府性基金支出61.88万元，其中基本支出0万元，项目支出 61.88万元。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五、国有资本经营预算支出情况</w:t>
      </w:r>
    </w:p>
    <w:p>
      <w:pPr>
        <w:spacing w:after="0" w:line="560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 w:ascii="Times New Roman" w:hAnsi="Times New Roman" w:eastAsia="仿宋_GB2312"/>
          <w:color w:val="131313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131313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13131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131313"/>
          <w:sz w:val="32"/>
          <w:szCs w:val="32"/>
        </w:rPr>
        <w:t>年，我单位无国有资金经营预算支出。</w:t>
      </w: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社会保险基金预算支出情况</w:t>
      </w:r>
    </w:p>
    <w:p>
      <w:pPr>
        <w:spacing w:after="0" w:line="560" w:lineRule="exact"/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131313"/>
          <w:sz w:val="32"/>
          <w:szCs w:val="32"/>
          <w:lang w:val="en-US" w:eastAsia="zh-CN"/>
        </w:rPr>
        <w:t xml:space="preserve"> 2022年，我单位无社会保险基金预算支出。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七、部门整体支出绩效情况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  <w:t>（一）部门预算管理。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</w:rPr>
        <w:t>教育局整体绩效目标是办人民满意的教育。统筹合理管理部门教育经费；学校整体绩效目标是坚持以教学为中心，努力提高教学质量；加强师资队伍建设，不断提高师资队伍素质等。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</w:rPr>
        <w:t>年，我局认真做好年度财政资金的预算编制工作，按照政府采购目录及采购限额标准编制政府采购预算，做到应编尽编。在资金使用和管理方面，进一步强化资金统筹，优化资金结构，明确开支范围，细化资金用途，确保部门职责任务顺利完成，达到预期绩效目标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left"/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  <w:t>（二）结果应用情况。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zh-CN"/>
        </w:rPr>
        <w:t>本单位绩效自评公开、评价结果整改和应用结果反馈都及时完成。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八、存在的问题及原因分析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</w:rPr>
        <w:t>人员素质有待进一步提高。由于预算绩效管理工作培训以往仅限于财务管理人员，且开展时间较短。对预算绩效管理认识不到位、理解不充分，对预算绩效管理业务不了解、不熟悉，对工作重点把握不到位。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</w:rPr>
        <w:t>预算绩效管理工作相对滞后。局机关预算编制由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  <w:lang w:eastAsia="zh-CN"/>
        </w:rPr>
        <w:t>计财股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</w:rPr>
        <w:t>统筹，财务工作者除应对单位日常财务管理等外，无更多精力承担预算项目绩效管理培训、预算编制审核和预算管理绩效跟踪管理。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</w:rPr>
        <w:t>部分项目执行与预算支出指标差距较大。部分项目在预算时未能充分预料和考虑到来年的政策变化，导致实际支出与预算相差较大。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、下一步改进措施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  <w:lang w:val="en-US" w:eastAsia="zh-CN"/>
        </w:rPr>
        <w:t>1.加强组织领导。统一思想，加强领导，明确责任，明确由相关部门牵头，各部门参与的绩效评价管理联席会议制度，为绩效评价工作开展创造好的条件。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  <w:lang w:val="en-US" w:eastAsia="zh-CN"/>
        </w:rPr>
        <w:t>2.加强绩效评价业务培训，扩大培训范围，督促预算项目负责人加强项目管理。部门整体绩效评价工作是一项长期性的工作，专业性强，工作量大进一步加强开展部门领导及经办人员相关的政策、业务工作培训，组织开展部门之间的经验交流，切实推进绩效评价工作的开展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  <w:lang w:val="en-US" w:eastAsia="zh-CN"/>
        </w:rPr>
        <w:t>3.细化预算指标，提高预算科学性。预算编制前根据年度内单位可预见的工作任务，确定单位年度预算目标，细化预算指标，科学合理编制部门预算，推进预算编制科学化、准确化。年度预算编制后，根据实际情况，定期做好预算执行分析，掌握预算执行进度，及时找出预算实际执行情况与预算目标之间存在的差距，纠正偏差，为下一次科学、准确地编制部门预算积累经验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0"/>
          <w:szCs w:val="30"/>
          <w:highlight w:val="none"/>
          <w:lang w:val="en-US" w:eastAsia="zh-CN"/>
        </w:rPr>
        <w:t>4.强化绩效管理意识。进一步将绩效管理理念贯穿于资金分配到资金使用全过程，加大资金整合力度，强化专项资金管理，把有限的资金用在刀刃上，提高资金使用效益。同时，抓好内控制度建设，进一步降低行政成本，确保资金安全，进一步推进廉洁高效建设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十、其他需要说明的情况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kern w:val="0"/>
          <w:sz w:val="30"/>
          <w:szCs w:val="30"/>
          <w:highlight w:val="none"/>
          <w:lang w:val="en-US" w:eastAsia="zh-CN" w:bidi="ar-SA"/>
        </w:rPr>
        <w:t>无其他需要说明的情况。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587" w:right="1587" w:bottom="136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color w:val="auto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8468995</wp:posOffset>
                </wp:positionH>
                <wp:positionV relativeFrom="paragraph">
                  <wp:posOffset>984250</wp:posOffset>
                </wp:positionV>
                <wp:extent cx="22225" cy="19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" cy="1905"/>
                        </a:xfrm>
                        <a:prstGeom prst="line">
                          <a:avLst/>
                        </a:prstGeom>
                        <a:ln w="1524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66.85pt;margin-top:77.5pt;height:0.15pt;width:1.75pt;z-index:251661312;mso-width-relative:page;mso-height-relative:page;" filled="f" stroked="t" coordsize="21600,21600" o:gfxdata="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0Qq3ldoAAAANAQAADwAAAAAAAAABACAAAAAiAAAAZHJzL2Rvd25yZXYueG1sUEsBAhQAFAAAAAgA&#10;h07iQLTnJSbqAQAAvQMAAA4AAAAAAAAAAQAgAAAAKQEAAGRycy9lMm9Eb2MueG1sUEsFBgAAAAAG&#10;AAYAWQEAAIUFAAAAAA==&#10;">
                <v:fill on="f" focussize="0,0"/>
                <v:stroke weight="1.2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-8504555</wp:posOffset>
                </wp:positionH>
                <wp:positionV relativeFrom="paragraph">
                  <wp:posOffset>252095</wp:posOffset>
                </wp:positionV>
                <wp:extent cx="59594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3280" y="9178290"/>
                          <a:ext cx="5959475" cy="0"/>
                        </a:xfrm>
                        <a:prstGeom prst="line">
                          <a:avLst/>
                        </a:prstGeom>
                        <a:ln w="1524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69.65pt;margin-top:19.85pt;height:0pt;width:469.25pt;z-index:251660288;mso-width-relative:page;mso-height-relative:page;" filled="f" stroked="t" coordsize="21600,21600" o:gfxdata="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STikL2wAAAAwBAAAPAAAAAAAAAAEAIAAAACIAAABkcnMvZG93bnJldi54bWxQSwEC&#10;FAAUAAAACACHTuJAYvCr7/EBAAC9AwAADgAAAAAAAAABACAAAAAqAQAAZHJzL2Uyb0RvYy54bWxQ&#10;SwUGAAAAAAYABgBZAQAAjQUAAAAA&#10;">
                <v:fill on="f" focussize="0,0"/>
                <v:stroke weight="1.2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footerReference r:id="rId5" w:type="default"/>
      <w:pgSz w:w="11906" w:h="16838"/>
      <w:pgMar w:top="1587" w:right="1587" w:bottom="136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43FEBB"/>
    <w:multiLevelType w:val="singleLevel"/>
    <w:tmpl w:val="C643FE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C70106"/>
    <w:multiLevelType w:val="singleLevel"/>
    <w:tmpl w:val="2CC7010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NiNDkwMTIyZTMyNDE2NzYyZWIxMzYwMjVlZTcifQ=="/>
  </w:docVars>
  <w:rsids>
    <w:rsidRoot w:val="001869FC"/>
    <w:rsid w:val="00034DB8"/>
    <w:rsid w:val="00056201"/>
    <w:rsid w:val="00070F71"/>
    <w:rsid w:val="00163CB6"/>
    <w:rsid w:val="001869FC"/>
    <w:rsid w:val="00262095"/>
    <w:rsid w:val="002F27D7"/>
    <w:rsid w:val="003D6B7A"/>
    <w:rsid w:val="003E08E0"/>
    <w:rsid w:val="004029E8"/>
    <w:rsid w:val="0053004C"/>
    <w:rsid w:val="005920C9"/>
    <w:rsid w:val="00684206"/>
    <w:rsid w:val="006A7DF2"/>
    <w:rsid w:val="0071762C"/>
    <w:rsid w:val="00753B75"/>
    <w:rsid w:val="0078334D"/>
    <w:rsid w:val="007C5095"/>
    <w:rsid w:val="007D0D90"/>
    <w:rsid w:val="00836AE6"/>
    <w:rsid w:val="00850C24"/>
    <w:rsid w:val="00862F03"/>
    <w:rsid w:val="008B00A6"/>
    <w:rsid w:val="009F2023"/>
    <w:rsid w:val="00A134FF"/>
    <w:rsid w:val="00AF04D9"/>
    <w:rsid w:val="00B02D82"/>
    <w:rsid w:val="00C46DB2"/>
    <w:rsid w:val="00D30DC7"/>
    <w:rsid w:val="00DA7009"/>
    <w:rsid w:val="00F25565"/>
    <w:rsid w:val="00F85762"/>
    <w:rsid w:val="01B342D5"/>
    <w:rsid w:val="03836194"/>
    <w:rsid w:val="03F07940"/>
    <w:rsid w:val="059B511C"/>
    <w:rsid w:val="05D2123D"/>
    <w:rsid w:val="07F867C0"/>
    <w:rsid w:val="088D368A"/>
    <w:rsid w:val="09D452DF"/>
    <w:rsid w:val="09FC429A"/>
    <w:rsid w:val="0A6C50B3"/>
    <w:rsid w:val="0ACA6815"/>
    <w:rsid w:val="0DCE6C09"/>
    <w:rsid w:val="0E0F686D"/>
    <w:rsid w:val="0E95634D"/>
    <w:rsid w:val="0F597D92"/>
    <w:rsid w:val="0F6A0FB2"/>
    <w:rsid w:val="0F84395A"/>
    <w:rsid w:val="103C6933"/>
    <w:rsid w:val="105C5754"/>
    <w:rsid w:val="13780EB0"/>
    <w:rsid w:val="14380462"/>
    <w:rsid w:val="14E97563"/>
    <w:rsid w:val="15C33167"/>
    <w:rsid w:val="15D31197"/>
    <w:rsid w:val="15DB44F0"/>
    <w:rsid w:val="167F278D"/>
    <w:rsid w:val="17A90A5F"/>
    <w:rsid w:val="18B85880"/>
    <w:rsid w:val="18D20E02"/>
    <w:rsid w:val="19172FD4"/>
    <w:rsid w:val="199758FA"/>
    <w:rsid w:val="1A06725A"/>
    <w:rsid w:val="1A182921"/>
    <w:rsid w:val="1AF702DF"/>
    <w:rsid w:val="1B65363C"/>
    <w:rsid w:val="1CE44678"/>
    <w:rsid w:val="1D44297A"/>
    <w:rsid w:val="1D7D1AF6"/>
    <w:rsid w:val="1F276EF8"/>
    <w:rsid w:val="1FAC5323"/>
    <w:rsid w:val="1FD0742C"/>
    <w:rsid w:val="21C94F83"/>
    <w:rsid w:val="22047AFD"/>
    <w:rsid w:val="22404FF1"/>
    <w:rsid w:val="24341E71"/>
    <w:rsid w:val="24764035"/>
    <w:rsid w:val="24DC6B7A"/>
    <w:rsid w:val="251D7B2D"/>
    <w:rsid w:val="25762491"/>
    <w:rsid w:val="25F3119D"/>
    <w:rsid w:val="269D242D"/>
    <w:rsid w:val="26C66CDC"/>
    <w:rsid w:val="27AF7D52"/>
    <w:rsid w:val="27E15237"/>
    <w:rsid w:val="27E776C5"/>
    <w:rsid w:val="27EB3943"/>
    <w:rsid w:val="28C646D4"/>
    <w:rsid w:val="295D5310"/>
    <w:rsid w:val="2A000CC3"/>
    <w:rsid w:val="2AA55C71"/>
    <w:rsid w:val="2B51502C"/>
    <w:rsid w:val="2BE61A7A"/>
    <w:rsid w:val="2D1B77DC"/>
    <w:rsid w:val="2D684B43"/>
    <w:rsid w:val="2DA11972"/>
    <w:rsid w:val="30066A50"/>
    <w:rsid w:val="300E30A0"/>
    <w:rsid w:val="30697F83"/>
    <w:rsid w:val="30BD058F"/>
    <w:rsid w:val="310827AF"/>
    <w:rsid w:val="315F16D9"/>
    <w:rsid w:val="329204EE"/>
    <w:rsid w:val="33E83C08"/>
    <w:rsid w:val="35130482"/>
    <w:rsid w:val="35566178"/>
    <w:rsid w:val="360C42D5"/>
    <w:rsid w:val="361D66E5"/>
    <w:rsid w:val="36C70915"/>
    <w:rsid w:val="372C483C"/>
    <w:rsid w:val="37826CB5"/>
    <w:rsid w:val="37AB3779"/>
    <w:rsid w:val="37C00258"/>
    <w:rsid w:val="3C4A1000"/>
    <w:rsid w:val="3D490154"/>
    <w:rsid w:val="3ECF7E7A"/>
    <w:rsid w:val="3FAD455A"/>
    <w:rsid w:val="3FBD4FE7"/>
    <w:rsid w:val="40785BB7"/>
    <w:rsid w:val="421B1FA6"/>
    <w:rsid w:val="426F516C"/>
    <w:rsid w:val="43B229DB"/>
    <w:rsid w:val="44A36F5A"/>
    <w:rsid w:val="45580935"/>
    <w:rsid w:val="46A13A16"/>
    <w:rsid w:val="471B27BB"/>
    <w:rsid w:val="481643EA"/>
    <w:rsid w:val="487164A8"/>
    <w:rsid w:val="490A1C1F"/>
    <w:rsid w:val="4982009D"/>
    <w:rsid w:val="49A57724"/>
    <w:rsid w:val="4A981BD9"/>
    <w:rsid w:val="4AA702EC"/>
    <w:rsid w:val="4B6674C1"/>
    <w:rsid w:val="4B670046"/>
    <w:rsid w:val="4EA0686A"/>
    <w:rsid w:val="4EEC17F4"/>
    <w:rsid w:val="4FD67044"/>
    <w:rsid w:val="500F014B"/>
    <w:rsid w:val="52660515"/>
    <w:rsid w:val="54F92E20"/>
    <w:rsid w:val="583955FC"/>
    <w:rsid w:val="5AB330D0"/>
    <w:rsid w:val="5B7A41E8"/>
    <w:rsid w:val="5C194E51"/>
    <w:rsid w:val="5C3F28CD"/>
    <w:rsid w:val="5C5C0B22"/>
    <w:rsid w:val="5EDD6B16"/>
    <w:rsid w:val="5EE34AA3"/>
    <w:rsid w:val="5FA40A7B"/>
    <w:rsid w:val="5FAC7F16"/>
    <w:rsid w:val="619145F4"/>
    <w:rsid w:val="62252C42"/>
    <w:rsid w:val="62404C02"/>
    <w:rsid w:val="63114260"/>
    <w:rsid w:val="637721A3"/>
    <w:rsid w:val="63D64C4D"/>
    <w:rsid w:val="644B5A8C"/>
    <w:rsid w:val="653A0A10"/>
    <w:rsid w:val="65644D12"/>
    <w:rsid w:val="65693FCE"/>
    <w:rsid w:val="66A35458"/>
    <w:rsid w:val="66AC7A2C"/>
    <w:rsid w:val="66B1363C"/>
    <w:rsid w:val="67A7649F"/>
    <w:rsid w:val="688B23C8"/>
    <w:rsid w:val="689B7277"/>
    <w:rsid w:val="69A23768"/>
    <w:rsid w:val="6A5076F0"/>
    <w:rsid w:val="6AE4255D"/>
    <w:rsid w:val="6B152C31"/>
    <w:rsid w:val="6B235210"/>
    <w:rsid w:val="6B7F36C3"/>
    <w:rsid w:val="6C032668"/>
    <w:rsid w:val="6D7E1B8C"/>
    <w:rsid w:val="6E084717"/>
    <w:rsid w:val="6E0E0A45"/>
    <w:rsid w:val="6FEA783A"/>
    <w:rsid w:val="70646771"/>
    <w:rsid w:val="70672685"/>
    <w:rsid w:val="70B90A76"/>
    <w:rsid w:val="70DD7716"/>
    <w:rsid w:val="713066A4"/>
    <w:rsid w:val="720E577F"/>
    <w:rsid w:val="72824564"/>
    <w:rsid w:val="73AE6386"/>
    <w:rsid w:val="73F8130D"/>
    <w:rsid w:val="748450A2"/>
    <w:rsid w:val="762A6B9D"/>
    <w:rsid w:val="76D0455D"/>
    <w:rsid w:val="76D62A1C"/>
    <w:rsid w:val="775223E8"/>
    <w:rsid w:val="79044A7A"/>
    <w:rsid w:val="7B6F3C00"/>
    <w:rsid w:val="7C55484B"/>
    <w:rsid w:val="7CEE107B"/>
    <w:rsid w:val="7DE729E9"/>
    <w:rsid w:val="7EBA44F4"/>
    <w:rsid w:val="7F414471"/>
    <w:rsid w:val="7F733094"/>
    <w:rsid w:val="7F7E31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keepNext/>
      <w:keepLines/>
      <w:spacing w:line="640" w:lineRule="exact"/>
      <w:jc w:val="center"/>
      <w:outlineLvl w:val="0"/>
    </w:pPr>
    <w:rPr>
      <w:rFonts w:eastAsia="方正小标宋_GBK" w:cs="Times New Roman"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character" w:customStyle="1" w:styleId="16">
    <w:name w:val="标题 1 Char"/>
    <w:basedOn w:val="12"/>
    <w:link w:val="3"/>
    <w:qFormat/>
    <w:uiPriority w:val="99"/>
    <w:rPr>
      <w:rFonts w:ascii="Calibri" w:hAnsi="Calibri" w:eastAsia="方正小标宋_GBK" w:cs="Times New Roman"/>
      <w:bCs/>
      <w:kern w:val="44"/>
      <w:sz w:val="44"/>
      <w:szCs w:val="44"/>
    </w:rPr>
  </w:style>
  <w:style w:type="character" w:customStyle="1" w:styleId="17">
    <w:name w:val="页眉 Char"/>
    <w:basedOn w:val="12"/>
    <w:link w:val="7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8">
    <w:name w:val="页脚 Char"/>
    <w:basedOn w:val="12"/>
    <w:link w:val="6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9">
    <w:name w:val="批注框文本 Char"/>
    <w:basedOn w:val="12"/>
    <w:link w:val="5"/>
    <w:semiHidden/>
    <w:qFormat/>
    <w:uiPriority w:val="99"/>
    <w:rPr>
      <w:rFonts w:ascii="Calibri" w:hAnsi="Calibri" w:eastAsia="宋体" w:cs="宋体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2637E9-AD5C-41B7-822D-3011D62B9E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3417</Words>
  <Characters>3980</Characters>
  <Lines>15</Lines>
  <Paragraphs>4</Paragraphs>
  <TotalTime>0</TotalTime>
  <ScaleCrop>false</ScaleCrop>
  <LinksUpToDate>false</LinksUpToDate>
  <CharactersWithSpaces>3991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2020-01-27T13:41:00Z</dcterms:created>
  <dc:creator>ndmmdl</dc:creator>
  <cp:lastModifiedBy>Administrator</cp:lastModifiedBy>
  <cp:lastPrinted>2023-03-22T02:34:00Z</cp:lastPrinted>
  <dcterms:modified xsi:type="dcterms:W3CDTF">2023-08-30T07:17:52Z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DADF862928484654A46B3CEA5CC443E0</vt:lpwstr>
  </property>
</Properties>
</file>